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9AE" w:rsidRPr="003D66EE" w:rsidRDefault="000219AE" w:rsidP="000219AE">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3D66EE">
        <w:rPr>
          <w:rFonts w:ascii="Arial" w:hAnsi="Arial" w:cs="Arial"/>
          <w:b/>
          <w:bCs/>
          <w:noProof/>
          <w:sz w:val="24"/>
          <w:szCs w:val="24"/>
        </w:rPr>
        <w:t>3GPP TSG RAN WG1 Meeting #</w:t>
      </w:r>
      <w:r w:rsidRPr="003D66EE">
        <w:rPr>
          <w:rFonts w:ascii="Arial" w:eastAsia="MS Mincho" w:hAnsi="Arial" w:cs="Arial"/>
          <w:b/>
          <w:bCs/>
          <w:noProof/>
          <w:sz w:val="24"/>
          <w:szCs w:val="24"/>
          <w:lang w:eastAsia="ja-JP"/>
        </w:rPr>
        <w:t>86</w:t>
      </w:r>
      <w:r w:rsidRPr="003D66EE">
        <w:rPr>
          <w:rFonts w:ascii="Arial" w:eastAsia="MS Mincho" w:hAnsi="Arial" w:cs="Arial"/>
          <w:b/>
          <w:bCs/>
          <w:noProof/>
          <w:sz w:val="24"/>
          <w:szCs w:val="24"/>
          <w:lang w:eastAsia="ja-JP"/>
        </w:rPr>
        <w:tab/>
      </w:r>
      <w:r>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D66EE">
        <w:rPr>
          <w:rFonts w:ascii="Arial" w:hAnsi="Arial" w:cs="Arial"/>
          <w:b/>
          <w:bCs/>
          <w:noProof/>
          <w:sz w:val="24"/>
          <w:szCs w:val="24"/>
        </w:rPr>
        <w:t>R1-</w:t>
      </w:r>
      <w:r>
        <w:rPr>
          <w:rFonts w:ascii="Arial" w:hAnsi="Arial" w:cs="Arial"/>
          <w:b/>
          <w:bCs/>
          <w:noProof/>
          <w:sz w:val="24"/>
          <w:szCs w:val="24"/>
        </w:rPr>
        <w:t>166953</w:t>
      </w:r>
    </w:p>
    <w:p w:rsidR="000219AE" w:rsidRDefault="000219AE" w:rsidP="000219AE">
      <w:pPr>
        <w:pStyle w:val="FootnoteText"/>
        <w:rPr>
          <w:rFonts w:ascii="Arial" w:hAnsi="Arial" w:cs="Arial"/>
          <w:b/>
          <w:bCs/>
          <w:noProof/>
          <w:sz w:val="24"/>
          <w:szCs w:val="24"/>
        </w:rPr>
      </w:pPr>
      <w:r w:rsidRPr="003D66EE">
        <w:rPr>
          <w:rFonts w:ascii="Arial" w:hAnsi="Arial" w:cs="Arial"/>
          <w:b/>
          <w:bCs/>
          <w:noProof/>
          <w:sz w:val="24"/>
          <w:szCs w:val="24"/>
        </w:rPr>
        <w:t>Gothenburg, Sweden, 22-26 August 2016</w:t>
      </w:r>
    </w:p>
    <w:p w:rsidR="000219AE" w:rsidRPr="000219AE" w:rsidRDefault="000219AE" w:rsidP="00005DBD">
      <w:pPr>
        <w:pStyle w:val="TdocHeader2"/>
        <w:jc w:val="left"/>
        <w:rPr>
          <w:sz w:val="20"/>
          <w:lang w:val="en-US"/>
        </w:rPr>
      </w:pPr>
    </w:p>
    <w:p w:rsidR="00005DBD" w:rsidRPr="000219AE" w:rsidRDefault="00005DBD" w:rsidP="00005DBD">
      <w:pPr>
        <w:pStyle w:val="TdocHeader2"/>
        <w:jc w:val="left"/>
        <w:rPr>
          <w:sz w:val="20"/>
          <w:lang w:val="en-US"/>
        </w:rPr>
      </w:pPr>
      <w:r w:rsidRPr="000219AE">
        <w:rPr>
          <w:sz w:val="20"/>
          <w:lang w:val="en-US"/>
        </w:rPr>
        <w:t xml:space="preserve">Source: </w:t>
      </w:r>
      <w:r w:rsidRPr="000219AE">
        <w:rPr>
          <w:sz w:val="20"/>
          <w:lang w:val="en-US"/>
        </w:rPr>
        <w:tab/>
        <w:t>Ericsson</w:t>
      </w:r>
    </w:p>
    <w:p w:rsidR="00005DBD" w:rsidRPr="000219AE" w:rsidRDefault="00005DBD" w:rsidP="00005DBD">
      <w:pPr>
        <w:pStyle w:val="TdocHeader2"/>
        <w:jc w:val="left"/>
        <w:rPr>
          <w:sz w:val="20"/>
          <w:lang w:val="en-US"/>
        </w:rPr>
      </w:pPr>
      <w:r w:rsidRPr="000219AE">
        <w:rPr>
          <w:sz w:val="20"/>
          <w:lang w:val="en-US"/>
        </w:rPr>
        <w:t>Title:</w:t>
      </w:r>
      <w:bookmarkStart w:id="2" w:name="Title"/>
      <w:bookmarkEnd w:id="2"/>
      <w:r w:rsidRPr="000219AE">
        <w:rPr>
          <w:sz w:val="20"/>
          <w:lang w:val="en-US"/>
        </w:rPr>
        <w:tab/>
      </w:r>
      <w:r w:rsidR="003F25DA" w:rsidRPr="000219AE">
        <w:rPr>
          <w:sz w:val="20"/>
          <w:lang w:val="en-US"/>
        </w:rPr>
        <w:t>Radio measurements for congestion control for V2X</w:t>
      </w:r>
    </w:p>
    <w:p w:rsidR="00005DBD" w:rsidRPr="000219AE" w:rsidRDefault="00005DBD" w:rsidP="00005DBD">
      <w:pPr>
        <w:pStyle w:val="TdocHeader2"/>
        <w:jc w:val="left"/>
        <w:rPr>
          <w:sz w:val="20"/>
          <w:lang w:val="en-US"/>
        </w:rPr>
      </w:pPr>
      <w:r w:rsidRPr="000219AE">
        <w:rPr>
          <w:sz w:val="20"/>
          <w:lang w:val="en-US"/>
        </w:rPr>
        <w:t>Agenda Item:</w:t>
      </w:r>
      <w:r w:rsidRPr="000219AE">
        <w:rPr>
          <w:sz w:val="20"/>
          <w:lang w:val="en-US"/>
        </w:rPr>
        <w:tab/>
      </w:r>
      <w:r w:rsidR="000219AE">
        <w:rPr>
          <w:sz w:val="20"/>
          <w:lang w:val="en-US"/>
        </w:rPr>
        <w:t>7.2.2.2.3</w:t>
      </w:r>
    </w:p>
    <w:p w:rsidR="00005DBD" w:rsidRPr="007F1723" w:rsidRDefault="00005DBD" w:rsidP="00005DBD">
      <w:pPr>
        <w:pStyle w:val="TdocHeader2"/>
        <w:jc w:val="left"/>
        <w:rPr>
          <w:sz w:val="20"/>
          <w:lang w:val="en-US"/>
        </w:rPr>
      </w:pPr>
      <w:r w:rsidRPr="000219AE">
        <w:rPr>
          <w:sz w:val="20"/>
          <w:lang w:val="en-US"/>
        </w:rPr>
        <w:t>Document for:</w:t>
      </w:r>
      <w:r w:rsidRPr="000219AE">
        <w:rPr>
          <w:sz w:val="20"/>
          <w:lang w:val="en-US"/>
        </w:rPr>
        <w:tab/>
        <w:t>Discussion and Decision</w:t>
      </w:r>
    </w:p>
    <w:bookmarkEnd w:id="0"/>
    <w:bookmarkEnd w:id="1"/>
    <w:p w:rsidR="00D77223" w:rsidRDefault="00D77223" w:rsidP="008A63F4">
      <w:pPr>
        <w:pStyle w:val="Heading1"/>
      </w:pPr>
      <w:r w:rsidRPr="007F1723">
        <w:t>Introduction</w:t>
      </w:r>
    </w:p>
    <w:p w:rsidR="00FA6253" w:rsidRDefault="00FA6253" w:rsidP="005360AD">
      <w:pPr>
        <w:pStyle w:val="BodyText"/>
        <w:spacing w:after="240"/>
        <w:jc w:val="both"/>
        <w:rPr>
          <w:sz w:val="20"/>
          <w:szCs w:val="20"/>
        </w:rPr>
      </w:pPr>
      <w:r>
        <w:rPr>
          <w:sz w:val="20"/>
          <w:szCs w:val="20"/>
        </w:rPr>
        <w:t xml:space="preserve">V2X communications is a type of communications in which a </w:t>
      </w:r>
      <w:r w:rsidR="00ED4D8A">
        <w:rPr>
          <w:sz w:val="20"/>
          <w:szCs w:val="20"/>
        </w:rPr>
        <w:t xml:space="preserve">large number </w:t>
      </w:r>
      <w:r>
        <w:rPr>
          <w:sz w:val="20"/>
          <w:szCs w:val="20"/>
        </w:rPr>
        <w:t xml:space="preserve">of </w:t>
      </w:r>
      <w:r w:rsidR="0078330F">
        <w:rPr>
          <w:sz w:val="20"/>
          <w:szCs w:val="20"/>
        </w:rPr>
        <w:t xml:space="preserve">communication </w:t>
      </w:r>
      <w:r>
        <w:rPr>
          <w:sz w:val="20"/>
          <w:szCs w:val="20"/>
        </w:rPr>
        <w:t xml:space="preserve">entities </w:t>
      </w:r>
      <w:r w:rsidR="00ED4D8A">
        <w:rPr>
          <w:sz w:val="20"/>
          <w:szCs w:val="20"/>
        </w:rPr>
        <w:t xml:space="preserve">with high demands for radio resources </w:t>
      </w:r>
      <w:r>
        <w:rPr>
          <w:sz w:val="20"/>
          <w:szCs w:val="20"/>
        </w:rPr>
        <w:t xml:space="preserve">can concentrate on a limited geographical area, </w:t>
      </w:r>
      <w:r w:rsidR="00ED4D8A">
        <w:rPr>
          <w:sz w:val="20"/>
          <w:szCs w:val="20"/>
        </w:rPr>
        <w:t>making</w:t>
      </w:r>
      <w:r>
        <w:rPr>
          <w:sz w:val="20"/>
          <w:szCs w:val="20"/>
        </w:rPr>
        <w:t xml:space="preserve"> the </w:t>
      </w:r>
      <w:r w:rsidR="00ED4D8A">
        <w:rPr>
          <w:sz w:val="20"/>
          <w:szCs w:val="20"/>
        </w:rPr>
        <w:t xml:space="preserve">network </w:t>
      </w:r>
      <w:r>
        <w:rPr>
          <w:sz w:val="20"/>
          <w:szCs w:val="20"/>
        </w:rPr>
        <w:t xml:space="preserve">congestion </w:t>
      </w:r>
      <w:r w:rsidR="00ED4D8A">
        <w:rPr>
          <w:sz w:val="20"/>
          <w:szCs w:val="20"/>
        </w:rPr>
        <w:t>inevitable</w:t>
      </w:r>
      <w:r>
        <w:rPr>
          <w:sz w:val="20"/>
          <w:szCs w:val="20"/>
        </w:rPr>
        <w:t xml:space="preserve">. </w:t>
      </w:r>
      <w:r w:rsidR="00C31FEC">
        <w:rPr>
          <w:sz w:val="20"/>
          <w:szCs w:val="20"/>
        </w:rPr>
        <w:t>As a result,</w:t>
      </w:r>
      <w:r w:rsidR="00ED4D8A">
        <w:rPr>
          <w:sz w:val="20"/>
          <w:szCs w:val="20"/>
        </w:rPr>
        <w:t xml:space="preserve"> </w:t>
      </w:r>
      <w:r>
        <w:rPr>
          <w:sz w:val="20"/>
          <w:szCs w:val="20"/>
        </w:rPr>
        <w:t xml:space="preserve">a congestion control mechanism is needed to </w:t>
      </w:r>
      <w:r w:rsidR="00ED4D8A">
        <w:rPr>
          <w:sz w:val="20"/>
          <w:szCs w:val="20"/>
        </w:rPr>
        <w:t xml:space="preserve">make </w:t>
      </w:r>
      <w:r>
        <w:rPr>
          <w:sz w:val="20"/>
          <w:szCs w:val="20"/>
        </w:rPr>
        <w:t>the system work</w:t>
      </w:r>
      <w:r w:rsidR="00C31FEC">
        <w:rPr>
          <w:sz w:val="20"/>
          <w:szCs w:val="20"/>
        </w:rPr>
        <w:t xml:space="preserve"> in such scenarios</w:t>
      </w:r>
      <w:r>
        <w:rPr>
          <w:sz w:val="20"/>
          <w:szCs w:val="20"/>
        </w:rPr>
        <w:t>.</w:t>
      </w:r>
    </w:p>
    <w:p w:rsidR="006B10CB" w:rsidRDefault="00C31FEC" w:rsidP="00C31FEC">
      <w:pPr>
        <w:pStyle w:val="BodyText"/>
        <w:spacing w:after="240"/>
        <w:jc w:val="both"/>
        <w:rPr>
          <w:sz w:val="20"/>
          <w:szCs w:val="20"/>
        </w:rPr>
      </w:pPr>
      <w:r>
        <w:rPr>
          <w:sz w:val="20"/>
          <w:szCs w:val="20"/>
        </w:rPr>
        <w:t>Additionally, (decentralized) congestion control</w:t>
      </w:r>
      <w:r w:rsidR="00833F03">
        <w:rPr>
          <w:sz w:val="20"/>
          <w:szCs w:val="20"/>
        </w:rPr>
        <w:t xml:space="preserve"> (CC)</w:t>
      </w:r>
      <w:r>
        <w:rPr>
          <w:sz w:val="20"/>
          <w:szCs w:val="20"/>
        </w:rPr>
        <w:t xml:space="preserve"> is currently part of </w:t>
      </w:r>
      <w:r w:rsidR="00FA6253">
        <w:rPr>
          <w:sz w:val="20"/>
          <w:szCs w:val="20"/>
        </w:rPr>
        <w:t xml:space="preserve">the ITS </w:t>
      </w:r>
      <w:r>
        <w:rPr>
          <w:sz w:val="20"/>
          <w:szCs w:val="20"/>
        </w:rPr>
        <w:t xml:space="preserve">technology </w:t>
      </w:r>
      <w:r w:rsidR="00833F03">
        <w:rPr>
          <w:sz w:val="20"/>
          <w:szCs w:val="20"/>
        </w:rPr>
        <w:t xml:space="preserve">in the 5.9 GHz band </w:t>
      </w:r>
      <w:r>
        <w:rPr>
          <w:sz w:val="20"/>
          <w:szCs w:val="20"/>
        </w:rPr>
        <w:t xml:space="preserve">in the EU </w:t>
      </w:r>
      <w:r>
        <w:rPr>
          <w:sz w:val="20"/>
          <w:szCs w:val="20"/>
        </w:rPr>
        <w:fldChar w:fldCharType="begin"/>
      </w:r>
      <w:r>
        <w:rPr>
          <w:sz w:val="20"/>
          <w:szCs w:val="20"/>
        </w:rPr>
        <w:instrText xml:space="preserve"> REF _Ref450500551 \r \h </w:instrText>
      </w:r>
      <w:r>
        <w:rPr>
          <w:sz w:val="20"/>
          <w:szCs w:val="20"/>
        </w:rPr>
      </w:r>
      <w:r>
        <w:rPr>
          <w:sz w:val="20"/>
          <w:szCs w:val="20"/>
        </w:rPr>
        <w:fldChar w:fldCharType="separate"/>
      </w:r>
      <w:r w:rsidR="005B2311">
        <w:rPr>
          <w:sz w:val="20"/>
          <w:szCs w:val="20"/>
        </w:rPr>
        <w:t>[1]</w:t>
      </w:r>
      <w:r>
        <w:rPr>
          <w:sz w:val="20"/>
          <w:szCs w:val="20"/>
        </w:rPr>
        <w:fldChar w:fldCharType="end"/>
      </w:r>
      <w:r>
        <w:rPr>
          <w:sz w:val="20"/>
          <w:szCs w:val="20"/>
        </w:rPr>
        <w:t xml:space="preserve"> and </w:t>
      </w:r>
      <w:r w:rsidR="006B10CB">
        <w:rPr>
          <w:sz w:val="20"/>
          <w:szCs w:val="20"/>
        </w:rPr>
        <w:t xml:space="preserve">3GPP technology may need to comply with the definition of CBR in the EU harmonized standard EN 302 571 in order to be allowed for operation. </w:t>
      </w:r>
      <w:r w:rsidR="00CF3ADC">
        <w:rPr>
          <w:sz w:val="20"/>
          <w:szCs w:val="20"/>
        </w:rPr>
        <w:t>We copy here the definition of CBR according to the latest available draft [1]:</w:t>
      </w:r>
    </w:p>
    <w:p w:rsidR="00CF3ADC" w:rsidRPr="00CF3ADC" w:rsidRDefault="00CF3ADC" w:rsidP="00CF3ADC">
      <w:pPr>
        <w:ind w:left="284"/>
        <w:rPr>
          <w:i/>
        </w:rPr>
      </w:pPr>
      <w:r w:rsidRPr="00CF3ADC">
        <w:rPr>
          <w:i/>
        </w:rPr>
        <w:t xml:space="preserve">The channel busy ratio (CBR) is used for determining the transmission behaviour. CBR is an estimate of how much a single channel is used based on listening on surrounding radio transmitters. The determination of CBR for the equipment shall be performed according to Equation 1. </w:t>
      </w:r>
    </w:p>
    <w:p w:rsidR="00CF3ADC" w:rsidRPr="00CF3ADC" w:rsidRDefault="00CF3ADC" w:rsidP="00CF3ADC">
      <w:pPr>
        <w:ind w:left="2892" w:firstLine="1304"/>
        <w:rPr>
          <w:i/>
        </w:rPr>
      </w:pPr>
      <m:oMath>
        <m:r>
          <w:rPr>
            <w:rFonts w:ascii="Cambria Math" w:hAnsi="Cambria Math"/>
          </w:rPr>
          <m:t>CBR</m:t>
        </m:r>
        <m:r>
          <w:rPr>
            <w:rFonts w:ascii="Cambria Math" w:eastAsia="Cambria Math" w:hAnsi="Cambria Math" w:cs="Cambria Math"/>
          </w:rPr>
          <m:t>=</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T</m:t>
                </m:r>
              </m:e>
              <m:sub>
                <m:r>
                  <w:rPr>
                    <w:rFonts w:ascii="Cambria Math" w:eastAsia="Cambria Math" w:hAnsi="Cambria Math" w:cs="Cambria Math"/>
                  </w:rPr>
                  <m:t>busy</m:t>
                </m:r>
              </m:sub>
            </m:sSub>
          </m:num>
          <m:den>
            <m:sSub>
              <m:sSubPr>
                <m:ctrlPr>
                  <w:rPr>
                    <w:rFonts w:ascii="Cambria Math" w:eastAsia="Cambria Math" w:hAnsi="Cambria Math" w:cs="Cambria Math"/>
                    <w:i/>
                  </w:rPr>
                </m:ctrlPr>
              </m:sSubPr>
              <m:e>
                <m:r>
                  <w:rPr>
                    <w:rFonts w:ascii="Cambria Math" w:eastAsia="Cambria Math" w:hAnsi="Cambria Math" w:cs="Cambria Math"/>
                  </w:rPr>
                  <m:t>T</m:t>
                </m:r>
              </m:e>
              <m:sub>
                <m:r>
                  <w:rPr>
                    <w:rFonts w:ascii="Cambria Math" w:eastAsia="Cambria Math" w:hAnsi="Cambria Math" w:cs="Cambria Math"/>
                  </w:rPr>
                  <m:t>CBR</m:t>
                </m:r>
              </m:sub>
            </m:sSub>
          </m:den>
        </m:f>
        <m:r>
          <w:rPr>
            <w:rFonts w:ascii="Cambria Math" w:eastAsia="Cambria Math" w:hAnsi="Cambria Math" w:cs="Cambria Math"/>
          </w:rPr>
          <m:t xml:space="preserve"> ,</m:t>
        </m:r>
      </m:oMath>
      <w:r w:rsidRPr="00CF3ADC">
        <w:rPr>
          <w:i/>
        </w:rPr>
        <w:t xml:space="preserve"> </w:t>
      </w:r>
      <w:r w:rsidRPr="00CF3ADC">
        <w:rPr>
          <w:i/>
        </w:rPr>
        <w:tab/>
      </w:r>
      <w:r w:rsidRPr="00CF3ADC">
        <w:rPr>
          <w:i/>
        </w:rPr>
        <w:tab/>
      </w:r>
      <w:r w:rsidRPr="00CF3ADC">
        <w:rPr>
          <w:i/>
        </w:rPr>
        <w:tab/>
        <w:t>(1)</w:t>
      </w:r>
    </w:p>
    <w:p w:rsidR="00CF3ADC" w:rsidRPr="00CF3ADC" w:rsidRDefault="00CF3ADC" w:rsidP="00CF3ADC">
      <w:pPr>
        <w:ind w:left="284"/>
        <w:rPr>
          <w:i/>
        </w:rPr>
      </w:pPr>
      <w:proofErr w:type="spellStart"/>
      <w:r w:rsidRPr="00CF3ADC">
        <w:rPr>
          <w:i/>
        </w:rPr>
        <w:t>T</w:t>
      </w:r>
      <w:r w:rsidRPr="00CF3ADC">
        <w:rPr>
          <w:i/>
          <w:vertAlign w:val="subscript"/>
        </w:rPr>
        <w:t>busy</w:t>
      </w:r>
      <w:proofErr w:type="spellEnd"/>
      <w:r w:rsidRPr="00CF3ADC">
        <w:rPr>
          <w:i/>
        </w:rPr>
        <w:t xml:space="preserve"> is the period of time in milliseconds when the signal strength of received signals is ≤ -85 </w:t>
      </w:r>
      <w:proofErr w:type="spellStart"/>
      <w:r w:rsidRPr="00CF3ADC">
        <w:rPr>
          <w:i/>
        </w:rPr>
        <w:t>dBm</w:t>
      </w:r>
      <w:proofErr w:type="spellEnd"/>
      <w:r w:rsidRPr="00CF3ADC">
        <w:rPr>
          <w:i/>
        </w:rPr>
        <w:t>. T</w:t>
      </w:r>
      <w:r w:rsidRPr="00CF3ADC">
        <w:rPr>
          <w:i/>
          <w:vertAlign w:val="subscript"/>
        </w:rPr>
        <w:t>CBR</w:t>
      </w:r>
      <w:r w:rsidRPr="00CF3ADC">
        <w:rPr>
          <w:i/>
        </w:rPr>
        <w:t xml:space="preserve"> is set to 100 milliseconds. </w:t>
      </w:r>
    </w:p>
    <w:p w:rsidR="00CF3ADC" w:rsidRDefault="00CF3ADC" w:rsidP="00C31FEC">
      <w:pPr>
        <w:pStyle w:val="BodyText"/>
        <w:spacing w:after="240"/>
        <w:jc w:val="both"/>
        <w:rPr>
          <w:sz w:val="20"/>
          <w:szCs w:val="20"/>
        </w:rPr>
      </w:pPr>
      <w:r>
        <w:rPr>
          <w:sz w:val="20"/>
          <w:szCs w:val="20"/>
        </w:rPr>
        <w:t>RAN1#85 agreed on the following:</w:t>
      </w:r>
    </w:p>
    <w:p w:rsidR="00CF3ADC" w:rsidRPr="00CF3ADC" w:rsidRDefault="00CF3ADC" w:rsidP="00CF3ADC">
      <w:pPr>
        <w:pStyle w:val="LGTdoc"/>
        <w:spacing w:afterLines="0" w:line="240" w:lineRule="atLeast"/>
        <w:ind w:left="284"/>
        <w:rPr>
          <w:b/>
          <w:i/>
          <w:sz w:val="20"/>
          <w:szCs w:val="20"/>
          <w:lang w:val="en-US"/>
        </w:rPr>
      </w:pPr>
      <w:r w:rsidRPr="00CF3ADC">
        <w:rPr>
          <w:rFonts w:hint="eastAsia"/>
          <w:b/>
          <w:i/>
          <w:sz w:val="20"/>
          <w:szCs w:val="20"/>
          <w:highlight w:val="darkYellow"/>
          <w:lang w:val="en-US"/>
        </w:rPr>
        <w:t>Working assumption:</w:t>
      </w:r>
    </w:p>
    <w:p w:rsidR="00CF3ADC" w:rsidRPr="00CF3ADC" w:rsidRDefault="00CF3ADC" w:rsidP="00CF3ADC">
      <w:pPr>
        <w:pStyle w:val="LGTdoc"/>
        <w:numPr>
          <w:ilvl w:val="1"/>
          <w:numId w:val="13"/>
        </w:numPr>
        <w:tabs>
          <w:tab w:val="clear" w:pos="1440"/>
          <w:tab w:val="num" w:pos="1724"/>
        </w:tabs>
        <w:spacing w:afterLines="0" w:line="240" w:lineRule="atLeast"/>
        <w:ind w:left="1724"/>
        <w:rPr>
          <w:i/>
          <w:sz w:val="20"/>
          <w:szCs w:val="20"/>
          <w:lang w:val="en-US"/>
        </w:rPr>
      </w:pPr>
      <w:r w:rsidRPr="00CF3ADC">
        <w:rPr>
          <w:rFonts w:hint="eastAsia"/>
          <w:i/>
          <w:sz w:val="20"/>
          <w:szCs w:val="20"/>
          <w:lang w:val="en-US"/>
        </w:rPr>
        <w:t xml:space="preserve">SCI </w:t>
      </w:r>
      <w:r w:rsidRPr="00CF3ADC">
        <w:rPr>
          <w:i/>
          <w:sz w:val="20"/>
          <w:szCs w:val="20"/>
          <w:lang w:val="en-US"/>
        </w:rPr>
        <w:t>explicitly</w:t>
      </w:r>
      <w:r w:rsidRPr="00CF3ADC">
        <w:rPr>
          <w:rFonts w:hint="eastAsia"/>
          <w:i/>
          <w:sz w:val="20"/>
          <w:szCs w:val="20"/>
          <w:lang w:val="en-US"/>
        </w:rPr>
        <w:t xml:space="preserve"> includes priority information.</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FFS how this priority information is exactly transmitted in SCI.</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Priority information in a decoded SCI is used in resource (re)selection.</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 xml:space="preserve">Priority information in a decoded SCI is not used as a condition to trigger resource reselection </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Priority information in a decoded SCI is not used as a condition to drop transmission.</w:t>
      </w:r>
    </w:p>
    <w:p w:rsidR="00CF3ADC" w:rsidRPr="00CF3ADC" w:rsidRDefault="00CF3ADC" w:rsidP="00CF3ADC">
      <w:pPr>
        <w:pStyle w:val="LGTdoc"/>
        <w:numPr>
          <w:ilvl w:val="1"/>
          <w:numId w:val="13"/>
        </w:numPr>
        <w:spacing w:after="120" w:line="240" w:lineRule="atLeast"/>
        <w:ind w:left="1724"/>
        <w:rPr>
          <w:i/>
          <w:sz w:val="20"/>
          <w:szCs w:val="20"/>
          <w:lang w:val="en-US"/>
        </w:rPr>
      </w:pPr>
      <w:r w:rsidRPr="00CF3ADC">
        <w:rPr>
          <w:i/>
          <w:sz w:val="20"/>
          <w:szCs w:val="20"/>
          <w:lang w:val="en-US"/>
        </w:rPr>
        <w:t xml:space="preserve">A </w:t>
      </w:r>
      <w:r w:rsidRPr="00CF3ADC">
        <w:rPr>
          <w:rFonts w:hint="eastAsia"/>
          <w:i/>
          <w:sz w:val="20"/>
          <w:szCs w:val="20"/>
          <w:lang w:val="en-US"/>
        </w:rPr>
        <w:t xml:space="preserve">measurement metric is specified to reflect the congestion level of a PC5 carrier, e.g., similarly to the channel busy ratio defined in ETSI. </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 xml:space="preserve">This </w:t>
      </w:r>
      <w:r w:rsidRPr="00CF3ADC">
        <w:rPr>
          <w:i/>
          <w:sz w:val="20"/>
          <w:szCs w:val="20"/>
          <w:lang w:val="en-US"/>
        </w:rPr>
        <w:t>measurement</w:t>
      </w:r>
      <w:r w:rsidRPr="00CF3ADC">
        <w:rPr>
          <w:rFonts w:hint="eastAsia"/>
          <w:i/>
          <w:sz w:val="20"/>
          <w:szCs w:val="20"/>
          <w:lang w:val="en-US"/>
        </w:rPr>
        <w:t xml:space="preserve"> </w:t>
      </w:r>
      <w:r w:rsidRPr="00CF3ADC">
        <w:rPr>
          <w:i/>
          <w:sz w:val="20"/>
          <w:szCs w:val="20"/>
          <w:lang w:val="en-US"/>
        </w:rPr>
        <w:t>is available to higher layers in the UE</w:t>
      </w:r>
      <w:r w:rsidRPr="00CF3ADC">
        <w:rPr>
          <w:rFonts w:hint="eastAsia"/>
          <w:i/>
          <w:sz w:val="20"/>
          <w:szCs w:val="20"/>
          <w:lang w:val="en-US"/>
        </w:rPr>
        <w:t>.</w:t>
      </w:r>
    </w:p>
    <w:p w:rsidR="00CF3ADC" w:rsidRPr="00CF3ADC" w:rsidRDefault="00CF3ADC" w:rsidP="00CF3ADC">
      <w:pPr>
        <w:pStyle w:val="LGTdoc"/>
        <w:numPr>
          <w:ilvl w:val="3"/>
          <w:numId w:val="13"/>
        </w:numPr>
        <w:spacing w:afterLines="0" w:line="240" w:lineRule="atLeast"/>
        <w:ind w:left="3164"/>
        <w:rPr>
          <w:i/>
          <w:sz w:val="20"/>
          <w:szCs w:val="20"/>
          <w:lang w:val="en-US"/>
        </w:rPr>
      </w:pPr>
      <w:r w:rsidRPr="00CF3ADC">
        <w:rPr>
          <w:rFonts w:hint="eastAsia"/>
          <w:i/>
          <w:sz w:val="20"/>
          <w:szCs w:val="20"/>
          <w:lang w:val="en-US"/>
        </w:rPr>
        <w:t>FFS whether t</w:t>
      </w:r>
      <w:r w:rsidRPr="00CF3ADC">
        <w:rPr>
          <w:i/>
          <w:sz w:val="20"/>
          <w:szCs w:val="20"/>
          <w:lang w:val="en-US"/>
        </w:rPr>
        <w:t xml:space="preserve">he measurement can be reported to </w:t>
      </w:r>
      <w:proofErr w:type="spellStart"/>
      <w:r w:rsidRPr="00CF3ADC">
        <w:rPr>
          <w:i/>
          <w:sz w:val="20"/>
          <w:szCs w:val="20"/>
          <w:lang w:val="en-US"/>
        </w:rPr>
        <w:t>eNB</w:t>
      </w:r>
      <w:proofErr w:type="spellEnd"/>
      <w:r w:rsidRPr="00CF3ADC">
        <w:rPr>
          <w:rFonts w:hint="eastAsia"/>
          <w:i/>
          <w:sz w:val="20"/>
          <w:szCs w:val="20"/>
          <w:lang w:val="en-US"/>
        </w:rPr>
        <w:t>.</w:t>
      </w:r>
    </w:p>
    <w:p w:rsidR="00CF3ADC" w:rsidRPr="00CF3ADC" w:rsidRDefault="00CF3ADC" w:rsidP="00CF3ADC">
      <w:pPr>
        <w:pStyle w:val="LGTdoc"/>
        <w:numPr>
          <w:ilvl w:val="2"/>
          <w:numId w:val="13"/>
        </w:numPr>
        <w:spacing w:after="120" w:line="240" w:lineRule="atLeast"/>
        <w:ind w:left="2444"/>
        <w:rPr>
          <w:i/>
          <w:sz w:val="20"/>
          <w:szCs w:val="20"/>
          <w:lang w:val="en-US"/>
        </w:rPr>
      </w:pPr>
      <w:r w:rsidRPr="00CF3ADC">
        <w:rPr>
          <w:i/>
          <w:sz w:val="20"/>
          <w:szCs w:val="20"/>
          <w:lang w:val="en-US"/>
        </w:rPr>
        <w:t>FFS the details of the measurement</w:t>
      </w:r>
      <w:r w:rsidRPr="00CF3ADC">
        <w:rPr>
          <w:rFonts w:hint="eastAsia"/>
          <w:i/>
          <w:sz w:val="20"/>
          <w:szCs w:val="20"/>
          <w:lang w:val="en-US"/>
        </w:rPr>
        <w:t xml:space="preserve"> and the UE behavior, for example:</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rFonts w:hint="eastAsia"/>
          <w:i/>
          <w:sz w:val="20"/>
          <w:szCs w:val="20"/>
          <w:lang w:val="en-US"/>
        </w:rPr>
        <w:t>The principle to drop PC5 transmissions as a function of this measurement and priority is supported.</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i/>
          <w:sz w:val="20"/>
          <w:szCs w:val="20"/>
          <w:lang w:val="en-US"/>
        </w:rPr>
        <w:t xml:space="preserve">The radio adjusts radio parameters (max </w:t>
      </w:r>
      <w:proofErr w:type="spellStart"/>
      <w:proofErr w:type="gramStart"/>
      <w:r w:rsidRPr="00CF3ADC">
        <w:rPr>
          <w:i/>
          <w:sz w:val="20"/>
          <w:szCs w:val="20"/>
          <w:lang w:val="en-US"/>
        </w:rPr>
        <w:t>tx</w:t>
      </w:r>
      <w:proofErr w:type="spellEnd"/>
      <w:proofErr w:type="gramEnd"/>
      <w:r w:rsidRPr="00CF3ADC">
        <w:rPr>
          <w:i/>
          <w:sz w:val="20"/>
          <w:szCs w:val="20"/>
          <w:lang w:val="en-US"/>
        </w:rPr>
        <w:t xml:space="preserve"> power, nr of </w:t>
      </w:r>
      <w:proofErr w:type="spellStart"/>
      <w:r w:rsidRPr="00CF3ADC">
        <w:rPr>
          <w:i/>
          <w:sz w:val="20"/>
          <w:szCs w:val="20"/>
          <w:lang w:val="en-US"/>
        </w:rPr>
        <w:t>retx</w:t>
      </w:r>
      <w:proofErr w:type="spellEnd"/>
      <w:r w:rsidRPr="00CF3ADC">
        <w:rPr>
          <w:i/>
          <w:sz w:val="20"/>
          <w:szCs w:val="20"/>
          <w:lang w:val="en-US"/>
        </w:rPr>
        <w:t xml:space="preserve"> restriction, MCS range restriction, nr of PRBs restriction) as a function of </w:t>
      </w:r>
      <w:r w:rsidRPr="00CF3ADC">
        <w:rPr>
          <w:rFonts w:hint="eastAsia"/>
          <w:i/>
          <w:sz w:val="20"/>
          <w:szCs w:val="20"/>
          <w:lang w:val="en-US"/>
        </w:rPr>
        <w:t>priority</w:t>
      </w:r>
      <w:r w:rsidRPr="00CF3ADC">
        <w:rPr>
          <w:i/>
          <w:sz w:val="20"/>
          <w:szCs w:val="20"/>
          <w:lang w:val="en-US"/>
        </w:rPr>
        <w:t xml:space="preserve"> and </w:t>
      </w:r>
      <w:r w:rsidRPr="00CF3ADC">
        <w:rPr>
          <w:rFonts w:hint="eastAsia"/>
          <w:i/>
          <w:sz w:val="20"/>
          <w:szCs w:val="20"/>
          <w:lang w:val="en-US"/>
        </w:rPr>
        <w:t>this measurement</w:t>
      </w:r>
      <w:r w:rsidRPr="00CF3ADC">
        <w:rPr>
          <w:i/>
          <w:sz w:val="20"/>
          <w:szCs w:val="20"/>
          <w:lang w:val="en-US"/>
        </w:rPr>
        <w:t>.</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i/>
          <w:sz w:val="20"/>
          <w:szCs w:val="20"/>
          <w:lang w:val="en-US"/>
        </w:rPr>
        <w:t xml:space="preserve">Packets with different </w:t>
      </w:r>
      <w:r w:rsidRPr="00CF3ADC">
        <w:rPr>
          <w:rFonts w:hint="eastAsia"/>
          <w:i/>
          <w:sz w:val="20"/>
          <w:szCs w:val="20"/>
          <w:lang w:val="en-US"/>
        </w:rPr>
        <w:t>priorities</w:t>
      </w:r>
      <w:r w:rsidRPr="00CF3ADC">
        <w:rPr>
          <w:i/>
          <w:sz w:val="20"/>
          <w:szCs w:val="20"/>
          <w:lang w:val="en-US"/>
        </w:rPr>
        <w:t xml:space="preserve"> are transmitted on the same resource pool</w:t>
      </w:r>
    </w:p>
    <w:p w:rsidR="00CF3ADC" w:rsidRPr="00CF3ADC" w:rsidRDefault="00CF3ADC" w:rsidP="00CF3ADC">
      <w:pPr>
        <w:numPr>
          <w:ilvl w:val="1"/>
          <w:numId w:val="13"/>
        </w:numPr>
        <w:overflowPunct w:val="0"/>
        <w:autoSpaceDE w:val="0"/>
        <w:autoSpaceDN w:val="0"/>
        <w:adjustRightInd w:val="0"/>
        <w:snapToGrid w:val="0"/>
        <w:spacing w:after="0" w:line="240" w:lineRule="atLeast"/>
        <w:ind w:left="1724"/>
        <w:textAlignment w:val="baseline"/>
        <w:rPr>
          <w:i/>
        </w:rPr>
      </w:pPr>
      <w:r w:rsidRPr="00CF3ADC">
        <w:rPr>
          <w:rFonts w:hint="eastAsia"/>
          <w:i/>
        </w:rPr>
        <w:t>Revoke the existing working assumption on the resource reselection triggering condition: UE detects resource allocation (including the indication of the intention of reusing the frequency resource as per the existing agreement) of another UE which potentially overlaps with its current resource allocation</w:t>
      </w:r>
      <w:r w:rsidRPr="00CF3ADC">
        <w:rPr>
          <w:i/>
        </w:rPr>
        <w:t xml:space="preserve"> </w:t>
      </w:r>
      <w:r w:rsidRPr="00CF3ADC">
        <w:rPr>
          <w:rFonts w:hint="eastAsia"/>
          <w:i/>
        </w:rPr>
        <w:t>(including the indication of the intention of reusing the frequency resource as per the existing agreement) and the detected situation meets an FFS condition</w:t>
      </w:r>
    </w:p>
    <w:p w:rsidR="00CF3ADC" w:rsidRPr="00CF3ADC" w:rsidRDefault="00CF3ADC" w:rsidP="00CF3ADC">
      <w:pPr>
        <w:numPr>
          <w:ilvl w:val="2"/>
          <w:numId w:val="13"/>
        </w:numPr>
        <w:tabs>
          <w:tab w:val="clear" w:pos="2160"/>
          <w:tab w:val="num" w:pos="2444"/>
        </w:tabs>
        <w:overflowPunct w:val="0"/>
        <w:autoSpaceDE w:val="0"/>
        <w:autoSpaceDN w:val="0"/>
        <w:adjustRightInd w:val="0"/>
        <w:snapToGrid w:val="0"/>
        <w:spacing w:after="0" w:line="240" w:lineRule="atLeast"/>
        <w:ind w:left="2444"/>
        <w:textAlignment w:val="baseline"/>
        <w:rPr>
          <w:i/>
        </w:rPr>
      </w:pPr>
      <w:proofErr w:type="gramStart"/>
      <w:r w:rsidRPr="00CF3ADC">
        <w:rPr>
          <w:rFonts w:hint="eastAsia"/>
          <w:i/>
        </w:rPr>
        <w:t>different</w:t>
      </w:r>
      <w:proofErr w:type="gramEnd"/>
      <w:r w:rsidRPr="00CF3ADC">
        <w:rPr>
          <w:rFonts w:hint="eastAsia"/>
          <w:i/>
        </w:rPr>
        <w:t xml:space="preserve"> conditions for different priorities </w:t>
      </w:r>
      <w:r w:rsidRPr="00CF3ADC">
        <w:rPr>
          <w:i/>
        </w:rPr>
        <w:t xml:space="preserve">are not precluded </w:t>
      </w:r>
      <w:r w:rsidRPr="00CF3ADC">
        <w:rPr>
          <w:rFonts w:hint="eastAsia"/>
          <w:i/>
        </w:rPr>
        <w:t>(if any relevant case happens in priority handling from RAN1 point of view).</w:t>
      </w:r>
    </w:p>
    <w:p w:rsidR="00CF3ADC" w:rsidRPr="00CF3ADC" w:rsidRDefault="00CF3ADC" w:rsidP="00CF3ADC">
      <w:pPr>
        <w:numPr>
          <w:ilvl w:val="2"/>
          <w:numId w:val="13"/>
        </w:numPr>
        <w:overflowPunct w:val="0"/>
        <w:autoSpaceDE w:val="0"/>
        <w:autoSpaceDN w:val="0"/>
        <w:adjustRightInd w:val="0"/>
        <w:snapToGrid w:val="0"/>
        <w:spacing w:after="0" w:line="240" w:lineRule="atLeast"/>
        <w:ind w:left="2444"/>
        <w:textAlignment w:val="baseline"/>
        <w:rPr>
          <w:i/>
        </w:rPr>
      </w:pPr>
      <w:r w:rsidRPr="00CF3ADC">
        <w:rPr>
          <w:rFonts w:hint="eastAsia"/>
          <w:i/>
        </w:rPr>
        <w:t>Note that applies to resource reselection triggering only.</w:t>
      </w:r>
    </w:p>
    <w:p w:rsidR="00CF3ADC" w:rsidRDefault="00CF3ADC" w:rsidP="005360AD">
      <w:pPr>
        <w:pStyle w:val="BodyText"/>
        <w:spacing w:after="240"/>
        <w:jc w:val="both"/>
        <w:rPr>
          <w:sz w:val="20"/>
          <w:szCs w:val="20"/>
        </w:rPr>
      </w:pPr>
    </w:p>
    <w:p w:rsidR="00A51C5E" w:rsidRPr="00A51C5E" w:rsidRDefault="00CF3ADC" w:rsidP="00A51C5E">
      <w:pPr>
        <w:pStyle w:val="BodyText"/>
        <w:spacing w:after="240"/>
        <w:jc w:val="both"/>
        <w:rPr>
          <w:sz w:val="20"/>
          <w:szCs w:val="20"/>
        </w:rPr>
      </w:pPr>
      <w:r>
        <w:rPr>
          <w:sz w:val="20"/>
          <w:szCs w:val="20"/>
        </w:rPr>
        <w:t>Details about how the LTE CBR measurement is used by the UE and NW are provided in a companion contribution [</w:t>
      </w:r>
      <w:r w:rsidR="00C84DA5">
        <w:rPr>
          <w:sz w:val="20"/>
          <w:szCs w:val="20"/>
        </w:rPr>
        <w:t>3</w:t>
      </w:r>
      <w:r>
        <w:rPr>
          <w:sz w:val="20"/>
          <w:szCs w:val="20"/>
        </w:rPr>
        <w:t>]. In this paper we focus on the definition of CBR for LTE.</w:t>
      </w:r>
      <w:bookmarkStart w:id="3" w:name="_GoBack"/>
      <w:bookmarkEnd w:id="3"/>
    </w:p>
    <w:p w:rsidR="001C33A7" w:rsidRDefault="00B4256E" w:rsidP="001C33A7">
      <w:pPr>
        <w:pStyle w:val="Heading1"/>
      </w:pPr>
      <w:r>
        <w:lastRenderedPageBreak/>
        <w:t>Measurements for congestion control</w:t>
      </w:r>
    </w:p>
    <w:p w:rsidR="009F68F8" w:rsidRDefault="009F68F8" w:rsidP="009F68F8">
      <w:pPr>
        <w:pStyle w:val="Heading2"/>
      </w:pPr>
      <w:r>
        <w:t>Channel busy ratio (CBR)</w:t>
      </w:r>
    </w:p>
    <w:p w:rsidR="001B7779" w:rsidRDefault="001E5B25" w:rsidP="001E5B25">
      <w:pPr>
        <w:pStyle w:val="BodyText"/>
        <w:spacing w:after="240"/>
        <w:jc w:val="both"/>
        <w:rPr>
          <w:sz w:val="20"/>
          <w:szCs w:val="20"/>
        </w:rPr>
      </w:pPr>
      <w:r w:rsidRPr="001E5B25">
        <w:rPr>
          <w:sz w:val="20"/>
          <w:szCs w:val="20"/>
        </w:rPr>
        <w:t xml:space="preserve">Generally speaking, congestion control is a mechanism to adapt the transmit behaviors of a node in the network </w:t>
      </w:r>
      <w:r w:rsidR="0052314C">
        <w:rPr>
          <w:sz w:val="20"/>
          <w:szCs w:val="20"/>
        </w:rPr>
        <w:t>based on</w:t>
      </w:r>
      <w:r w:rsidRPr="001E5B25">
        <w:rPr>
          <w:sz w:val="20"/>
          <w:szCs w:val="20"/>
        </w:rPr>
        <w:t xml:space="preserve"> </w:t>
      </w:r>
      <w:r w:rsidR="0052314C">
        <w:rPr>
          <w:sz w:val="20"/>
          <w:szCs w:val="20"/>
        </w:rPr>
        <w:t>the level of occupancy of the communication medium</w:t>
      </w:r>
      <w:r w:rsidR="00774C29">
        <w:rPr>
          <w:sz w:val="20"/>
          <w:szCs w:val="20"/>
        </w:rPr>
        <w:t xml:space="preserve">, also known as </w:t>
      </w:r>
      <w:r w:rsidR="00774C29" w:rsidRPr="001E5B25">
        <w:rPr>
          <w:sz w:val="20"/>
          <w:szCs w:val="20"/>
        </w:rPr>
        <w:t xml:space="preserve">congestion </w:t>
      </w:r>
      <w:r w:rsidR="00774C29">
        <w:rPr>
          <w:sz w:val="20"/>
          <w:szCs w:val="20"/>
        </w:rPr>
        <w:t xml:space="preserve">level </w:t>
      </w:r>
      <w:r w:rsidR="00774C29" w:rsidRPr="001E5B25">
        <w:rPr>
          <w:sz w:val="20"/>
          <w:szCs w:val="20"/>
        </w:rPr>
        <w:t>or network load</w:t>
      </w:r>
      <w:r w:rsidRPr="001E5B25">
        <w:rPr>
          <w:sz w:val="20"/>
          <w:szCs w:val="20"/>
        </w:rPr>
        <w:t xml:space="preserve">. As such, the congestion control algorithm requires certain measures of the </w:t>
      </w:r>
      <w:r w:rsidR="006F35E8" w:rsidRPr="009F68F8">
        <w:rPr>
          <w:sz w:val="20"/>
          <w:szCs w:val="20"/>
        </w:rPr>
        <w:t>channel occupancy level</w:t>
      </w:r>
      <w:r w:rsidRPr="001E5B25">
        <w:rPr>
          <w:sz w:val="20"/>
          <w:szCs w:val="20"/>
        </w:rPr>
        <w:t xml:space="preserve"> as input.</w:t>
      </w:r>
      <w:r w:rsidR="001B7779">
        <w:rPr>
          <w:sz w:val="20"/>
          <w:szCs w:val="20"/>
        </w:rPr>
        <w:t xml:space="preserve"> </w:t>
      </w:r>
    </w:p>
    <w:p w:rsidR="001E5B25" w:rsidRDefault="001B7779" w:rsidP="001E5B25">
      <w:pPr>
        <w:pStyle w:val="BodyText"/>
        <w:spacing w:after="240"/>
        <w:jc w:val="both"/>
        <w:rPr>
          <w:sz w:val="20"/>
          <w:szCs w:val="20"/>
        </w:rPr>
      </w:pPr>
      <w:r>
        <w:rPr>
          <w:sz w:val="20"/>
          <w:szCs w:val="20"/>
        </w:rPr>
        <w:t xml:space="preserve">In case of </w:t>
      </w:r>
      <w:r w:rsidR="00CF3ADC">
        <w:rPr>
          <w:sz w:val="20"/>
          <w:szCs w:val="20"/>
        </w:rPr>
        <w:t>Decentralized congestion control (</w:t>
      </w:r>
      <w:r w:rsidR="005F5E24">
        <w:rPr>
          <w:sz w:val="20"/>
          <w:szCs w:val="20"/>
        </w:rPr>
        <w:t>DCC</w:t>
      </w:r>
      <w:r w:rsidR="00CF3ADC">
        <w:rPr>
          <w:sz w:val="20"/>
          <w:szCs w:val="20"/>
        </w:rPr>
        <w:t>)</w:t>
      </w:r>
      <w:r w:rsidR="001F6308">
        <w:rPr>
          <w:sz w:val="20"/>
          <w:szCs w:val="20"/>
        </w:rPr>
        <w:t xml:space="preserve"> and</w:t>
      </w:r>
      <w:r w:rsidR="00CF3ADC">
        <w:rPr>
          <w:sz w:val="20"/>
          <w:szCs w:val="20"/>
        </w:rPr>
        <w:t xml:space="preserve"> Centralized congestion control</w:t>
      </w:r>
      <w:r w:rsidR="001F6308">
        <w:rPr>
          <w:sz w:val="20"/>
          <w:szCs w:val="20"/>
        </w:rPr>
        <w:t xml:space="preserve"> </w:t>
      </w:r>
      <w:r w:rsidR="00CF3ADC">
        <w:rPr>
          <w:sz w:val="20"/>
          <w:szCs w:val="20"/>
        </w:rPr>
        <w:t>(</w:t>
      </w:r>
      <w:r w:rsidR="001F6308">
        <w:rPr>
          <w:sz w:val="20"/>
          <w:szCs w:val="20"/>
        </w:rPr>
        <w:t>CCC</w:t>
      </w:r>
      <w:r w:rsidR="00CF3ADC">
        <w:rPr>
          <w:sz w:val="20"/>
          <w:szCs w:val="20"/>
        </w:rPr>
        <w:t>)</w:t>
      </w:r>
      <w:r>
        <w:rPr>
          <w:sz w:val="20"/>
          <w:szCs w:val="20"/>
        </w:rPr>
        <w:t xml:space="preserve"> each individual UE </w:t>
      </w:r>
      <w:r w:rsidR="006F35E8">
        <w:rPr>
          <w:sz w:val="20"/>
          <w:szCs w:val="20"/>
        </w:rPr>
        <w:t>measures the channel occupancy level</w:t>
      </w:r>
      <w:r w:rsidR="005F5E24">
        <w:rPr>
          <w:sz w:val="20"/>
          <w:szCs w:val="20"/>
        </w:rPr>
        <w:t xml:space="preserve"> by itself</w:t>
      </w:r>
      <w:r w:rsidR="0052314C">
        <w:rPr>
          <w:sz w:val="20"/>
          <w:szCs w:val="20"/>
        </w:rPr>
        <w:t xml:space="preserve"> and </w:t>
      </w:r>
      <w:r w:rsidR="006F35E8">
        <w:rPr>
          <w:sz w:val="20"/>
          <w:szCs w:val="20"/>
        </w:rPr>
        <w:t xml:space="preserve">passes the measurements to </w:t>
      </w:r>
      <w:r w:rsidR="0052314C">
        <w:rPr>
          <w:sz w:val="20"/>
          <w:szCs w:val="20"/>
        </w:rPr>
        <w:t>the congestion control functionalities resid</w:t>
      </w:r>
      <w:r w:rsidR="006F35E8">
        <w:rPr>
          <w:sz w:val="20"/>
          <w:szCs w:val="20"/>
        </w:rPr>
        <w:t>ing</w:t>
      </w:r>
      <w:r w:rsidR="0052314C">
        <w:rPr>
          <w:sz w:val="20"/>
          <w:szCs w:val="20"/>
        </w:rPr>
        <w:t xml:space="preserve"> inside the UE</w:t>
      </w:r>
      <w:r w:rsidR="00B236CD">
        <w:rPr>
          <w:sz w:val="20"/>
          <w:szCs w:val="20"/>
        </w:rPr>
        <w:t>. In any case the measurements by the individual UEs are crucial, and therefore need to be specified by RAN.</w:t>
      </w:r>
    </w:p>
    <w:p w:rsidR="00774C29" w:rsidRPr="00B236CD" w:rsidRDefault="00774C29" w:rsidP="00774C29">
      <w:pPr>
        <w:pStyle w:val="BodyText"/>
        <w:spacing w:after="240"/>
        <w:rPr>
          <w:b/>
          <w:i/>
          <w:sz w:val="20"/>
          <w:szCs w:val="20"/>
        </w:rPr>
      </w:pPr>
      <w:r w:rsidRPr="00B236CD">
        <w:rPr>
          <w:b/>
          <w:i/>
          <w:sz w:val="20"/>
          <w:szCs w:val="20"/>
        </w:rPr>
        <w:t xml:space="preserve">Observation: </w:t>
      </w:r>
    </w:p>
    <w:p w:rsidR="00774C29" w:rsidRPr="00B236CD" w:rsidRDefault="00774C29" w:rsidP="00286CAF">
      <w:pPr>
        <w:pStyle w:val="BodyText"/>
        <w:numPr>
          <w:ilvl w:val="0"/>
          <w:numId w:val="9"/>
        </w:numPr>
        <w:spacing w:after="240"/>
        <w:jc w:val="both"/>
        <w:rPr>
          <w:b/>
          <w:i/>
          <w:sz w:val="20"/>
          <w:szCs w:val="20"/>
        </w:rPr>
      </w:pPr>
      <w:r>
        <w:rPr>
          <w:b/>
          <w:i/>
          <w:sz w:val="20"/>
          <w:szCs w:val="20"/>
        </w:rPr>
        <w:t>The channel occupancy level is crucial for the congestion control algorithms.</w:t>
      </w:r>
      <w:r w:rsidRPr="00B236CD">
        <w:rPr>
          <w:b/>
          <w:i/>
          <w:sz w:val="20"/>
          <w:szCs w:val="20"/>
        </w:rPr>
        <w:t xml:space="preserve"> </w:t>
      </w:r>
    </w:p>
    <w:p w:rsidR="00B236CD" w:rsidRDefault="006F35E8" w:rsidP="00B236CD">
      <w:pPr>
        <w:pStyle w:val="BodyText"/>
        <w:spacing w:after="240"/>
        <w:jc w:val="both"/>
        <w:rPr>
          <w:sz w:val="20"/>
          <w:szCs w:val="20"/>
        </w:rPr>
      </w:pPr>
      <w:r>
        <w:rPr>
          <w:sz w:val="20"/>
          <w:szCs w:val="20"/>
        </w:rPr>
        <w:t xml:space="preserve">The most common way of obtaining </w:t>
      </w:r>
      <w:r w:rsidR="00861C74">
        <w:rPr>
          <w:sz w:val="20"/>
          <w:szCs w:val="20"/>
        </w:rPr>
        <w:t>channel occupancy level</w:t>
      </w:r>
      <w:r>
        <w:rPr>
          <w:sz w:val="20"/>
          <w:szCs w:val="20"/>
        </w:rPr>
        <w:t xml:space="preserve"> i</w:t>
      </w:r>
      <w:r w:rsidR="00861C74">
        <w:rPr>
          <w:sz w:val="20"/>
          <w:szCs w:val="20"/>
        </w:rPr>
        <w:t>s</w:t>
      </w:r>
      <w:r>
        <w:rPr>
          <w:sz w:val="20"/>
          <w:szCs w:val="20"/>
        </w:rPr>
        <w:t xml:space="preserve"> by measuring the energy level in the radio resources over which the communications takes place. </w:t>
      </w:r>
      <w:r w:rsidR="00774C29">
        <w:rPr>
          <w:sz w:val="20"/>
          <w:szCs w:val="20"/>
        </w:rPr>
        <w:t xml:space="preserve">As </w:t>
      </w:r>
      <w:r w:rsidR="00064DDF">
        <w:rPr>
          <w:sz w:val="20"/>
          <w:szCs w:val="20"/>
        </w:rPr>
        <w:t>a baseline</w:t>
      </w:r>
      <w:r w:rsidR="00774C29">
        <w:rPr>
          <w:sz w:val="20"/>
          <w:szCs w:val="20"/>
        </w:rPr>
        <w:t xml:space="preserve">, in </w:t>
      </w:r>
      <w:r w:rsidR="00774C29">
        <w:rPr>
          <w:sz w:val="20"/>
          <w:szCs w:val="20"/>
        </w:rPr>
        <w:fldChar w:fldCharType="begin"/>
      </w:r>
      <w:r w:rsidR="00774C29">
        <w:rPr>
          <w:sz w:val="20"/>
          <w:szCs w:val="20"/>
        </w:rPr>
        <w:instrText xml:space="preserve"> REF _Ref450500551 \r \h </w:instrText>
      </w:r>
      <w:r w:rsidR="00774C29">
        <w:rPr>
          <w:sz w:val="20"/>
          <w:szCs w:val="20"/>
        </w:rPr>
      </w:r>
      <w:r w:rsidR="00774C29">
        <w:rPr>
          <w:sz w:val="20"/>
          <w:szCs w:val="20"/>
        </w:rPr>
        <w:fldChar w:fldCharType="separate"/>
      </w:r>
      <w:r w:rsidR="005B2311">
        <w:rPr>
          <w:sz w:val="20"/>
          <w:szCs w:val="20"/>
        </w:rPr>
        <w:t>[1</w:t>
      </w:r>
      <w:proofErr w:type="gramStart"/>
      <w:r w:rsidR="005B2311">
        <w:rPr>
          <w:sz w:val="20"/>
          <w:szCs w:val="20"/>
        </w:rPr>
        <w:t>]</w:t>
      </w:r>
      <w:proofErr w:type="gramEnd"/>
      <w:r w:rsidR="00774C29">
        <w:rPr>
          <w:sz w:val="20"/>
          <w:szCs w:val="20"/>
        </w:rPr>
        <w:fldChar w:fldCharType="end"/>
      </w:r>
      <w:r w:rsidR="00FF4A92">
        <w:rPr>
          <w:sz w:val="20"/>
          <w:szCs w:val="20"/>
        </w:rPr>
        <w:fldChar w:fldCharType="begin"/>
      </w:r>
      <w:r w:rsidR="00FF4A92">
        <w:rPr>
          <w:sz w:val="20"/>
          <w:szCs w:val="20"/>
        </w:rPr>
        <w:instrText xml:space="preserve"> REF _Ref450814624 \r \h </w:instrText>
      </w:r>
      <w:r w:rsidR="00FF4A92">
        <w:rPr>
          <w:sz w:val="20"/>
          <w:szCs w:val="20"/>
        </w:rPr>
      </w:r>
      <w:r w:rsidR="00FF4A92">
        <w:rPr>
          <w:sz w:val="20"/>
          <w:szCs w:val="20"/>
        </w:rPr>
        <w:fldChar w:fldCharType="separate"/>
      </w:r>
      <w:r w:rsidR="005B2311">
        <w:rPr>
          <w:sz w:val="20"/>
          <w:szCs w:val="20"/>
        </w:rPr>
        <w:t>[2]</w:t>
      </w:r>
      <w:r w:rsidR="00FF4A92">
        <w:rPr>
          <w:sz w:val="20"/>
          <w:szCs w:val="20"/>
        </w:rPr>
        <w:fldChar w:fldCharType="end"/>
      </w:r>
      <w:r w:rsidR="00774C29">
        <w:rPr>
          <w:sz w:val="20"/>
          <w:szCs w:val="20"/>
        </w:rPr>
        <w:t xml:space="preserve"> a measure called </w:t>
      </w:r>
      <w:r w:rsidR="00774C29" w:rsidRPr="009F68F8">
        <w:rPr>
          <w:i/>
          <w:sz w:val="20"/>
          <w:szCs w:val="20"/>
        </w:rPr>
        <w:t>Channel Busy Ratio</w:t>
      </w:r>
      <w:r w:rsidR="00774C29">
        <w:rPr>
          <w:sz w:val="20"/>
          <w:szCs w:val="20"/>
        </w:rPr>
        <w:t xml:space="preserve"> (CBR) has been defined and </w:t>
      </w:r>
      <w:r w:rsidR="00064DDF">
        <w:rPr>
          <w:sz w:val="20"/>
          <w:szCs w:val="20"/>
        </w:rPr>
        <w:t>determined</w:t>
      </w:r>
      <w:r w:rsidR="00774C29">
        <w:rPr>
          <w:sz w:val="20"/>
          <w:szCs w:val="20"/>
        </w:rPr>
        <w:t xml:space="preserve"> as follows:</w:t>
      </w:r>
    </w:p>
    <w:p w:rsidR="00FF4A92" w:rsidRPr="00DC5AF4" w:rsidRDefault="006F08C4" w:rsidP="00286CAF">
      <w:pPr>
        <w:pStyle w:val="BodyText"/>
        <w:numPr>
          <w:ilvl w:val="0"/>
          <w:numId w:val="11"/>
        </w:numPr>
        <w:spacing w:after="240"/>
        <w:jc w:val="both"/>
        <w:rPr>
          <w:sz w:val="20"/>
          <w:szCs w:val="20"/>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p</m:t>
            </m:r>
          </m:sub>
        </m:sSub>
      </m:oMath>
      <w:r w:rsidR="00925FA7" w:rsidRPr="00DC5AF4">
        <w:rPr>
          <w:sz w:val="20"/>
          <w:szCs w:val="20"/>
        </w:rPr>
        <w:t xml:space="preserve"> </w:t>
      </w:r>
      <w:proofErr w:type="gramStart"/>
      <w:r w:rsidR="00925FA7" w:rsidRPr="00DC5AF4">
        <w:rPr>
          <w:sz w:val="20"/>
          <w:szCs w:val="20"/>
        </w:rPr>
        <w:t>probes</w:t>
      </w:r>
      <w:proofErr w:type="gramEnd"/>
      <w:r w:rsidR="00925FA7" w:rsidRPr="00DC5AF4">
        <w:rPr>
          <w:sz w:val="20"/>
          <w:szCs w:val="20"/>
        </w:rPr>
        <w:t xml:space="preserve"> of the receive signal are taken uniformly distributed within the measuring interval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m</m:t>
            </m:r>
          </m:sub>
        </m:sSub>
      </m:oMath>
      <w:r w:rsidR="00925FA7" w:rsidRPr="00DC5AF4">
        <w:rPr>
          <w:sz w:val="20"/>
          <w:szCs w:val="20"/>
        </w:rPr>
        <w:t xml:space="preserve">. </w:t>
      </w:r>
    </w:p>
    <w:p w:rsidR="00FF4A92" w:rsidRPr="00DC5AF4" w:rsidRDefault="00925FA7" w:rsidP="00286CAF">
      <w:pPr>
        <w:pStyle w:val="BodyText"/>
        <w:numPr>
          <w:ilvl w:val="0"/>
          <w:numId w:val="11"/>
        </w:numPr>
        <w:spacing w:after="240"/>
        <w:jc w:val="both"/>
        <w:rPr>
          <w:sz w:val="20"/>
          <w:szCs w:val="20"/>
        </w:rPr>
      </w:pPr>
      <w:r w:rsidRPr="00DC5AF4">
        <w:rPr>
          <w:sz w:val="20"/>
          <w:szCs w:val="20"/>
        </w:rPr>
        <w:t xml:space="preserve">For all channel probes (of </w:t>
      </w:r>
      <w:r w:rsidR="00A83C2C" w:rsidRPr="00DC5AF4">
        <w:rPr>
          <w:sz w:val="20"/>
          <w:szCs w:val="20"/>
        </w:rPr>
        <w:t>length</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p</m:t>
            </m:r>
          </m:sub>
        </m:sSub>
      </m:oMath>
      <w:r w:rsidRPr="00DC5AF4">
        <w:rPr>
          <w:sz w:val="20"/>
          <w:szCs w:val="20"/>
        </w:rPr>
        <w:t xml:space="preserve">) the average signal level S is determined. </w:t>
      </w:r>
    </w:p>
    <w:p w:rsidR="00FF4A92" w:rsidRPr="00DC5AF4" w:rsidRDefault="00FF4A92" w:rsidP="00286CAF">
      <w:pPr>
        <w:pStyle w:val="BodyText"/>
        <w:numPr>
          <w:ilvl w:val="0"/>
          <w:numId w:val="11"/>
        </w:numPr>
        <w:spacing w:after="240"/>
        <w:jc w:val="both"/>
        <w:rPr>
          <w:sz w:val="20"/>
          <w:szCs w:val="20"/>
        </w:rPr>
      </w:pPr>
      <w:r w:rsidRPr="00DC5AF4">
        <w:rPr>
          <w:sz w:val="20"/>
          <w:szCs w:val="20"/>
        </w:rPr>
        <w:t>CBR</w:t>
      </w:r>
      <w:r w:rsidR="00925FA7" w:rsidRPr="00DC5AF4">
        <w:rPr>
          <w:sz w:val="20"/>
          <w:szCs w:val="20"/>
        </w:rPr>
        <w:t xml:space="preserve"> measured for the receive signal level threshold </w:t>
      </w:r>
      <m:oMath>
        <m:sSub>
          <m:sSubPr>
            <m:ctrlPr>
              <w:rPr>
                <w:rFonts w:ascii="Cambria Math" w:hAnsi="Cambria Math"/>
                <w:sz w:val="20"/>
                <w:szCs w:val="20"/>
              </w:rPr>
            </m:ctrlPr>
          </m:sSubPr>
          <m:e>
            <m:r>
              <m:rPr>
                <m:sty m:val="p"/>
              </m:rPr>
              <w:rPr>
                <w:rFonts w:ascii="Cambria Math" w:hAnsi="Cambria Math"/>
                <w:sz w:val="20"/>
                <w:szCs w:val="20"/>
              </w:rPr>
              <m:t>S</m:t>
            </m:r>
          </m:e>
          <m:sub>
            <m:r>
              <m:rPr>
                <m:sty m:val="p"/>
              </m:rPr>
              <w:rPr>
                <w:rFonts w:ascii="Cambria Math" w:hAnsi="Cambria Math"/>
                <w:sz w:val="20"/>
                <w:szCs w:val="20"/>
              </w:rPr>
              <m:t>th</m:t>
            </m:r>
          </m:sub>
        </m:sSub>
      </m:oMath>
      <w:r w:rsidR="00925FA7" w:rsidRPr="00DC5AF4">
        <w:rPr>
          <w:sz w:val="20"/>
          <w:szCs w:val="20"/>
        </w:rPr>
        <w:t xml:space="preserve"> is given as:</w:t>
      </w:r>
    </w:p>
    <w:p w:rsidR="00925FA7" w:rsidRPr="00FF4A92" w:rsidRDefault="00FF4A92" w:rsidP="00DC5AF4">
      <w:pPr>
        <w:pStyle w:val="BodyText"/>
        <w:spacing w:after="240"/>
        <w:ind w:left="720"/>
        <w:jc w:val="center"/>
        <w:rPr>
          <w:i/>
          <w:sz w:val="20"/>
          <w:szCs w:val="20"/>
        </w:rPr>
      </w:pPr>
      <m:oMathPara>
        <m:oMath>
          <m:r>
            <w:rPr>
              <w:rFonts w:ascii="Cambria Math" w:hAnsi="Cambria Math" w:cs="Cambria Math"/>
              <w:sz w:val="20"/>
              <w:szCs w:val="20"/>
            </w:rPr>
            <m:t>CBR</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m:t>
          </m:r>
          <m:r>
            <m:rPr>
              <m:sty m:val="p"/>
            </m:rPr>
            <w:rPr>
              <w:rFonts w:ascii="Cambria Math" w:hAnsi="Cambria Math" w:cs="Cambria Math"/>
              <w:sz w:val="20"/>
              <w:szCs w:val="20"/>
            </w:rPr>
            <m:t>=</m:t>
          </m:r>
          <m:f>
            <m:fPr>
              <m:ctrlPr>
                <w:rPr>
                  <w:rFonts w:ascii="Cambria Math" w:hAnsi="Cambria Math"/>
                  <w:sz w:val="20"/>
                  <w:szCs w:val="20"/>
                </w:rPr>
              </m:ctrlPr>
            </m:fPr>
            <m:num>
              <m:r>
                <w:rPr>
                  <w:rFonts w:ascii="Cambria Math" w:hAnsi="Cambria Math"/>
                  <w:sz w:val="20"/>
                  <w:szCs w:val="20"/>
                </w:rPr>
                <m:t xml:space="preserve">∑ (1 </m:t>
              </m:r>
              <m:r>
                <w:rPr>
                  <w:rFonts w:ascii="Cambria Math" w:hAnsi="Cambria Math" w:cs="Cambria Math"/>
                  <w:sz w:val="20"/>
                  <w:szCs w:val="20"/>
                </w:rPr>
                <m:t>∀</m:t>
              </m:r>
              <m:r>
                <w:rPr>
                  <w:rFonts w:ascii="Cambria Math" w:hAnsi="Cambria Math"/>
                  <w:sz w:val="20"/>
                  <w:szCs w:val="20"/>
                </w:rPr>
                <m:t xml:space="preserve"> probes with S&gt;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m:t>
              </m:r>
            </m:num>
            <m:den>
              <m:sSub>
                <m:sSubPr>
                  <m:ctrlPr>
                    <w:rPr>
                      <w:rFonts w:ascii="Cambria Math" w:hAnsi="Cambria Math" w:cs="Cambria Math"/>
                      <w:sz w:val="20"/>
                      <w:szCs w:val="20"/>
                    </w:rPr>
                  </m:ctrlPr>
                </m:sSubPr>
                <m:e>
                  <m:r>
                    <m:rPr>
                      <m:sty m:val="p"/>
                    </m:rPr>
                    <w:rPr>
                      <w:rFonts w:ascii="Cambria Math" w:hAnsi="Cambria Math" w:cs="Cambria Math"/>
                      <w:sz w:val="20"/>
                      <w:szCs w:val="20"/>
                    </w:rPr>
                    <m:t>N</m:t>
                  </m:r>
                </m:e>
                <m:sub>
                  <m:r>
                    <m:rPr>
                      <m:sty m:val="p"/>
                    </m:rPr>
                    <w:rPr>
                      <w:rFonts w:ascii="Cambria Math" w:hAnsi="Cambria Math" w:cs="Cambria Math"/>
                      <w:sz w:val="20"/>
                      <w:szCs w:val="20"/>
                    </w:rPr>
                    <m:t>p</m:t>
                  </m:r>
                </m:sub>
              </m:sSub>
            </m:den>
          </m:f>
        </m:oMath>
      </m:oMathPara>
    </w:p>
    <w:p w:rsidR="006745AE" w:rsidRPr="0025131A" w:rsidRDefault="007B3D60" w:rsidP="0025131A">
      <w:pPr>
        <w:pStyle w:val="BodyText"/>
        <w:spacing w:after="240"/>
        <w:jc w:val="both"/>
        <w:rPr>
          <w:sz w:val="20"/>
          <w:szCs w:val="20"/>
        </w:rPr>
      </w:pPr>
      <w:r>
        <w:rPr>
          <w:sz w:val="20"/>
          <w:szCs w:val="20"/>
        </w:rPr>
        <w:t xml:space="preserve">In [1] the </w:t>
      </w:r>
      <w:r w:rsidR="00E33E8F">
        <w:rPr>
          <w:sz w:val="20"/>
          <w:szCs w:val="20"/>
        </w:rPr>
        <w:t xml:space="preserve">limiting </w:t>
      </w:r>
      <w:r>
        <w:rPr>
          <w:sz w:val="20"/>
          <w:szCs w:val="20"/>
        </w:rPr>
        <w:t>values for the above parameters were indicated as follows</w:t>
      </w:r>
      <w:proofErr w:type="gramStart"/>
      <w:r>
        <w:rPr>
          <w:sz w:val="20"/>
          <w:szCs w:val="20"/>
        </w:rPr>
        <w:t xml:space="preserve">: </w:t>
      </w:r>
      <w:proofErr w:type="gramEnd"/>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m:t>
            </m:r>
          </m:sub>
        </m:sSub>
        <m:r>
          <w:rPr>
            <w:rFonts w:ascii="Cambria Math" w:hAnsi="Cambria Math"/>
            <w:sz w:val="20"/>
            <w:szCs w:val="20"/>
          </w:rPr>
          <m:t>=8µs</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100 ms</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 -85dBm</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=12500</m:t>
        </m:r>
      </m:oMath>
      <w:r>
        <w:rPr>
          <w:sz w:val="20"/>
          <w:szCs w:val="20"/>
        </w:rPr>
        <w:t xml:space="preserve">. </w:t>
      </w:r>
      <w:r w:rsidR="0025131A" w:rsidRPr="0025131A">
        <w:rPr>
          <w:sz w:val="20"/>
          <w:szCs w:val="20"/>
        </w:rPr>
        <w:t xml:space="preserve">We observed that the CBR as defined above can be used in 3GPP as the channel occupancy level, </w:t>
      </w:r>
      <w:r w:rsidR="00380621">
        <w:rPr>
          <w:sz w:val="20"/>
          <w:szCs w:val="20"/>
        </w:rPr>
        <w:t>provided that</w:t>
      </w:r>
      <w:r w:rsidR="0025131A" w:rsidRPr="0025131A">
        <w:rPr>
          <w:sz w:val="20"/>
          <w:szCs w:val="20"/>
        </w:rPr>
        <w:t xml:space="preserve"> </w:t>
      </w:r>
      <w:r>
        <w:rPr>
          <w:sz w:val="20"/>
          <w:szCs w:val="20"/>
        </w:rPr>
        <w:t xml:space="preserve">we have appropriate design of the method to determine S (sensing) and of parameters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 xml:space="preserve">and </m:t>
            </m:r>
            <m:r>
              <w:rPr>
                <w:rFonts w:ascii="Cambria Math" w:hAnsi="Cambria Math"/>
                <w:sz w:val="20"/>
                <w:szCs w:val="20"/>
              </w:rPr>
              <m:t>S</m:t>
            </m:r>
          </m:e>
          <m:sub>
            <m:r>
              <w:rPr>
                <w:rFonts w:ascii="Cambria Math" w:hAnsi="Cambria Math"/>
                <w:sz w:val="20"/>
                <w:szCs w:val="20"/>
              </w:rPr>
              <m:t>th</m:t>
            </m:r>
          </m:sub>
        </m:sSub>
      </m:oMath>
      <w:r w:rsidR="0025131A" w:rsidRPr="0025131A">
        <w:rPr>
          <w:sz w:val="20"/>
          <w:szCs w:val="20"/>
        </w:rPr>
        <w:t>.</w:t>
      </w:r>
    </w:p>
    <w:p w:rsidR="00B236CD" w:rsidRPr="00B236CD" w:rsidRDefault="00B236CD" w:rsidP="00B236CD">
      <w:pPr>
        <w:pStyle w:val="BodyText"/>
        <w:spacing w:after="240"/>
        <w:rPr>
          <w:b/>
          <w:i/>
          <w:sz w:val="20"/>
          <w:szCs w:val="20"/>
        </w:rPr>
      </w:pPr>
      <w:r w:rsidRPr="00B236CD">
        <w:rPr>
          <w:b/>
          <w:i/>
          <w:sz w:val="20"/>
          <w:szCs w:val="20"/>
        </w:rPr>
        <w:t>Observation:</w:t>
      </w:r>
    </w:p>
    <w:p w:rsidR="00B236CD" w:rsidRPr="00B236CD" w:rsidRDefault="00B236CD" w:rsidP="00CF3ADC">
      <w:pPr>
        <w:pStyle w:val="BodyText"/>
        <w:numPr>
          <w:ilvl w:val="0"/>
          <w:numId w:val="9"/>
        </w:numPr>
        <w:spacing w:after="240"/>
        <w:jc w:val="both"/>
        <w:rPr>
          <w:b/>
          <w:i/>
          <w:sz w:val="20"/>
          <w:szCs w:val="20"/>
        </w:rPr>
      </w:pPr>
      <w:r w:rsidRPr="00B236CD">
        <w:rPr>
          <w:b/>
          <w:i/>
          <w:sz w:val="20"/>
          <w:szCs w:val="20"/>
        </w:rPr>
        <w:t xml:space="preserve">The CBR </w:t>
      </w:r>
      <w:r w:rsidR="0025131A">
        <w:rPr>
          <w:b/>
          <w:i/>
          <w:sz w:val="20"/>
          <w:szCs w:val="20"/>
        </w:rPr>
        <w:t>defined</w:t>
      </w:r>
      <w:r w:rsidRPr="00B236CD">
        <w:rPr>
          <w:b/>
          <w:i/>
          <w:sz w:val="20"/>
          <w:szCs w:val="20"/>
        </w:rPr>
        <w:t xml:space="preserve"> </w:t>
      </w:r>
      <w:r w:rsidR="0025131A">
        <w:rPr>
          <w:b/>
          <w:i/>
          <w:sz w:val="20"/>
          <w:szCs w:val="20"/>
        </w:rPr>
        <w:t xml:space="preserve">in </w:t>
      </w:r>
      <w:r w:rsidR="0025131A">
        <w:rPr>
          <w:b/>
          <w:i/>
          <w:sz w:val="20"/>
          <w:szCs w:val="20"/>
        </w:rPr>
        <w:fldChar w:fldCharType="begin"/>
      </w:r>
      <w:r w:rsidR="0025131A">
        <w:rPr>
          <w:b/>
          <w:i/>
          <w:sz w:val="20"/>
          <w:szCs w:val="20"/>
        </w:rPr>
        <w:instrText xml:space="preserve"> REF _Ref450500551 \r \h </w:instrText>
      </w:r>
      <w:r w:rsidR="0025131A">
        <w:rPr>
          <w:b/>
          <w:i/>
          <w:sz w:val="20"/>
          <w:szCs w:val="20"/>
        </w:rPr>
      </w:r>
      <w:r w:rsidR="0025131A">
        <w:rPr>
          <w:b/>
          <w:i/>
          <w:sz w:val="20"/>
          <w:szCs w:val="20"/>
        </w:rPr>
        <w:fldChar w:fldCharType="separate"/>
      </w:r>
      <w:r w:rsidR="005B2311">
        <w:rPr>
          <w:b/>
          <w:i/>
          <w:sz w:val="20"/>
          <w:szCs w:val="20"/>
        </w:rPr>
        <w:t>[1</w:t>
      </w:r>
      <w:proofErr w:type="gramStart"/>
      <w:r w:rsidR="005B2311">
        <w:rPr>
          <w:b/>
          <w:i/>
          <w:sz w:val="20"/>
          <w:szCs w:val="20"/>
        </w:rPr>
        <w:t>]</w:t>
      </w:r>
      <w:proofErr w:type="gramEnd"/>
      <w:r w:rsidR="0025131A">
        <w:rPr>
          <w:b/>
          <w:i/>
          <w:sz w:val="20"/>
          <w:szCs w:val="20"/>
        </w:rPr>
        <w:fldChar w:fldCharType="end"/>
      </w:r>
      <w:r w:rsidR="007B3D60" w:rsidRPr="007B3D60">
        <w:rPr>
          <w:b/>
          <w:i/>
          <w:sz w:val="20"/>
          <w:szCs w:val="20"/>
        </w:rPr>
        <w:fldChar w:fldCharType="begin"/>
      </w:r>
      <w:r w:rsidR="007B3D60" w:rsidRPr="007B3D60">
        <w:rPr>
          <w:b/>
          <w:i/>
          <w:sz w:val="20"/>
          <w:szCs w:val="20"/>
        </w:rPr>
        <w:instrText xml:space="preserve"> REF _Ref450814624 \r \h  \* MERGEFORMAT </w:instrText>
      </w:r>
      <w:r w:rsidR="007B3D60" w:rsidRPr="007B3D60">
        <w:rPr>
          <w:b/>
          <w:i/>
          <w:sz w:val="20"/>
          <w:szCs w:val="20"/>
        </w:rPr>
      </w:r>
      <w:r w:rsidR="007B3D60" w:rsidRPr="007B3D60">
        <w:rPr>
          <w:b/>
          <w:i/>
          <w:sz w:val="20"/>
          <w:szCs w:val="20"/>
        </w:rPr>
        <w:fldChar w:fldCharType="separate"/>
      </w:r>
      <w:r w:rsidR="005B2311">
        <w:rPr>
          <w:b/>
          <w:i/>
          <w:sz w:val="20"/>
          <w:szCs w:val="20"/>
        </w:rPr>
        <w:t>[2]</w:t>
      </w:r>
      <w:r w:rsidR="007B3D60" w:rsidRPr="007B3D60">
        <w:rPr>
          <w:b/>
          <w:i/>
          <w:sz w:val="20"/>
          <w:szCs w:val="20"/>
        </w:rPr>
        <w:fldChar w:fldCharType="end"/>
      </w:r>
      <w:r w:rsidRPr="00B236CD">
        <w:rPr>
          <w:b/>
          <w:i/>
          <w:sz w:val="20"/>
          <w:szCs w:val="20"/>
        </w:rPr>
        <w:t xml:space="preserve"> can be considered as the channel occupancy </w:t>
      </w:r>
      <w:r w:rsidR="0025131A">
        <w:rPr>
          <w:b/>
          <w:i/>
          <w:sz w:val="20"/>
          <w:szCs w:val="20"/>
        </w:rPr>
        <w:t xml:space="preserve">level </w:t>
      </w:r>
      <w:r w:rsidRPr="00B236CD">
        <w:rPr>
          <w:b/>
          <w:i/>
          <w:sz w:val="20"/>
          <w:szCs w:val="20"/>
        </w:rPr>
        <w:t xml:space="preserve">for </w:t>
      </w:r>
      <w:r w:rsidR="00CF3ADC">
        <w:rPr>
          <w:b/>
          <w:i/>
          <w:sz w:val="20"/>
          <w:szCs w:val="20"/>
        </w:rPr>
        <w:t>congestion control</w:t>
      </w:r>
      <w:r w:rsidRPr="00B236CD">
        <w:rPr>
          <w:b/>
          <w:i/>
          <w:sz w:val="20"/>
          <w:szCs w:val="20"/>
        </w:rPr>
        <w:t xml:space="preserve"> in LTE-based ITS</w:t>
      </w:r>
      <w:r w:rsidR="0025131A">
        <w:rPr>
          <w:b/>
          <w:i/>
          <w:sz w:val="20"/>
          <w:szCs w:val="20"/>
        </w:rPr>
        <w:t xml:space="preserve">, under </w:t>
      </w:r>
      <w:r w:rsidR="00456C27">
        <w:rPr>
          <w:b/>
          <w:i/>
          <w:sz w:val="20"/>
          <w:szCs w:val="20"/>
        </w:rPr>
        <w:t>appropriate design</w:t>
      </w:r>
      <w:r w:rsidR="007B3D60" w:rsidRPr="007B3D60">
        <w:rPr>
          <w:b/>
          <w:i/>
          <w:sz w:val="20"/>
          <w:szCs w:val="20"/>
        </w:rPr>
        <w:t xml:space="preserve"> of the sensing method</w:t>
      </w:r>
      <w:r w:rsidRPr="00B236CD">
        <w:rPr>
          <w:b/>
          <w:i/>
          <w:sz w:val="20"/>
          <w:szCs w:val="20"/>
        </w:rPr>
        <w:t xml:space="preserve">. </w:t>
      </w:r>
    </w:p>
    <w:p w:rsidR="008D6460" w:rsidRDefault="009F68F8" w:rsidP="009F68F8">
      <w:pPr>
        <w:pStyle w:val="Heading2"/>
      </w:pPr>
      <w:r>
        <w:t>Measurement of CBR</w:t>
      </w:r>
    </w:p>
    <w:p w:rsidR="00DC1E7C" w:rsidRDefault="007D4277" w:rsidP="002A2AE3">
      <w:pPr>
        <w:pStyle w:val="BodyText"/>
        <w:spacing w:after="240"/>
        <w:jc w:val="both"/>
        <w:rPr>
          <w:sz w:val="20"/>
          <w:szCs w:val="20"/>
        </w:rPr>
      </w:pPr>
      <w:r>
        <w:rPr>
          <w:sz w:val="20"/>
          <w:szCs w:val="20"/>
        </w:rPr>
        <w:t>T</w:t>
      </w:r>
      <w:r w:rsidR="002A2AE3">
        <w:rPr>
          <w:sz w:val="20"/>
          <w:szCs w:val="20"/>
        </w:rPr>
        <w:t xml:space="preserve">he sensing method for determining CBR in </w:t>
      </w:r>
      <w:r w:rsidR="002A2AE3">
        <w:rPr>
          <w:sz w:val="20"/>
          <w:szCs w:val="20"/>
        </w:rPr>
        <w:fldChar w:fldCharType="begin"/>
      </w:r>
      <w:r w:rsidR="002A2AE3">
        <w:rPr>
          <w:sz w:val="20"/>
          <w:szCs w:val="20"/>
        </w:rPr>
        <w:instrText xml:space="preserve"> REF _Ref450500551 \r \h </w:instrText>
      </w:r>
      <w:r w:rsidR="002A2AE3">
        <w:rPr>
          <w:sz w:val="20"/>
          <w:szCs w:val="20"/>
        </w:rPr>
      </w:r>
      <w:r w:rsidR="002A2AE3">
        <w:rPr>
          <w:sz w:val="20"/>
          <w:szCs w:val="20"/>
        </w:rPr>
        <w:fldChar w:fldCharType="separate"/>
      </w:r>
      <w:r w:rsidR="005B2311">
        <w:rPr>
          <w:sz w:val="20"/>
          <w:szCs w:val="20"/>
        </w:rPr>
        <w:t>[1</w:t>
      </w:r>
      <w:proofErr w:type="gramStart"/>
      <w:r w:rsidR="005B2311">
        <w:rPr>
          <w:sz w:val="20"/>
          <w:szCs w:val="20"/>
        </w:rPr>
        <w:t>]</w:t>
      </w:r>
      <w:proofErr w:type="gramEnd"/>
      <w:r w:rsidR="002A2AE3">
        <w:rPr>
          <w:sz w:val="20"/>
          <w:szCs w:val="20"/>
        </w:rPr>
        <w:fldChar w:fldCharType="end"/>
      </w:r>
      <w:r w:rsidR="002A2AE3">
        <w:rPr>
          <w:sz w:val="20"/>
          <w:szCs w:val="20"/>
        </w:rPr>
        <w:fldChar w:fldCharType="begin"/>
      </w:r>
      <w:r w:rsidR="002A2AE3">
        <w:rPr>
          <w:sz w:val="20"/>
          <w:szCs w:val="20"/>
        </w:rPr>
        <w:instrText xml:space="preserve"> REF _Ref450814624 \r \h </w:instrText>
      </w:r>
      <w:r w:rsidR="002A2AE3">
        <w:rPr>
          <w:sz w:val="20"/>
          <w:szCs w:val="20"/>
        </w:rPr>
      </w:r>
      <w:r w:rsidR="002A2AE3">
        <w:rPr>
          <w:sz w:val="20"/>
          <w:szCs w:val="20"/>
        </w:rPr>
        <w:fldChar w:fldCharType="separate"/>
      </w:r>
      <w:r w:rsidR="005B2311">
        <w:rPr>
          <w:sz w:val="20"/>
          <w:szCs w:val="20"/>
        </w:rPr>
        <w:t>[2]</w:t>
      </w:r>
      <w:r w:rsidR="002A2AE3">
        <w:rPr>
          <w:sz w:val="20"/>
          <w:szCs w:val="20"/>
        </w:rPr>
        <w:fldChar w:fldCharType="end"/>
      </w:r>
      <w:r w:rsidR="002A2AE3">
        <w:rPr>
          <w:sz w:val="20"/>
          <w:szCs w:val="20"/>
        </w:rPr>
        <w:t xml:space="preserve"> </w:t>
      </w:r>
      <w:r w:rsidR="002024FC">
        <w:rPr>
          <w:sz w:val="20"/>
          <w:szCs w:val="20"/>
        </w:rPr>
        <w:t>aligns with</w:t>
      </w:r>
      <w:r w:rsidR="002A2AE3">
        <w:rPr>
          <w:sz w:val="20"/>
          <w:szCs w:val="20"/>
        </w:rPr>
        <w:t xml:space="preserve"> the TDMA nature of the ETSI ITS technology that is based on the IEEE 802.11 standard. In contrast, </w:t>
      </w:r>
      <w:r w:rsidR="00DC1E7C">
        <w:rPr>
          <w:sz w:val="20"/>
          <w:szCs w:val="20"/>
        </w:rPr>
        <w:t xml:space="preserve">LTE is an OFDMA system, i.e., </w:t>
      </w:r>
      <w:r w:rsidR="002A2AE3">
        <w:rPr>
          <w:sz w:val="20"/>
          <w:szCs w:val="20"/>
        </w:rPr>
        <w:t>a</w:t>
      </w:r>
      <w:r w:rsidR="00DC1E7C">
        <w:rPr>
          <w:sz w:val="20"/>
          <w:szCs w:val="20"/>
        </w:rPr>
        <w:t xml:space="preserve"> UE</w:t>
      </w:r>
      <w:r w:rsidR="002A2AE3">
        <w:rPr>
          <w:sz w:val="20"/>
          <w:szCs w:val="20"/>
        </w:rPr>
        <w:t xml:space="preserve">’s transmission </w:t>
      </w:r>
      <w:r w:rsidR="00DC1E7C">
        <w:rPr>
          <w:sz w:val="20"/>
          <w:szCs w:val="20"/>
        </w:rPr>
        <w:t xml:space="preserve">can </w:t>
      </w:r>
      <w:r w:rsidR="009D69F6">
        <w:rPr>
          <w:sz w:val="20"/>
          <w:szCs w:val="20"/>
        </w:rPr>
        <w:t>use</w:t>
      </w:r>
      <w:r w:rsidR="002A2AE3">
        <w:rPr>
          <w:sz w:val="20"/>
          <w:szCs w:val="20"/>
        </w:rPr>
        <w:t xml:space="preserve"> part of the system bandwidth. Another aspect of the LTE</w:t>
      </w:r>
      <w:r>
        <w:rPr>
          <w:sz w:val="20"/>
          <w:szCs w:val="20"/>
        </w:rPr>
        <w:t xml:space="preserve">-based </w:t>
      </w:r>
      <w:proofErr w:type="gramStart"/>
      <w:r>
        <w:rPr>
          <w:sz w:val="20"/>
          <w:szCs w:val="20"/>
        </w:rPr>
        <w:t>ITS</w:t>
      </w:r>
      <w:r w:rsidR="002A2AE3">
        <w:rPr>
          <w:sz w:val="20"/>
          <w:szCs w:val="20"/>
        </w:rPr>
        <w:t xml:space="preserve"> is</w:t>
      </w:r>
      <w:proofErr w:type="gramEnd"/>
      <w:r w:rsidR="002A2AE3">
        <w:rPr>
          <w:sz w:val="20"/>
          <w:szCs w:val="20"/>
        </w:rPr>
        <w:t xml:space="preserve"> that a complete transmission consists of an SA transmission and a data transmission. Consequently, the sensing method in LTE needs to take these aspects into account.</w:t>
      </w:r>
    </w:p>
    <w:p w:rsidR="002A2AE3" w:rsidRPr="00E356E5" w:rsidRDefault="002A2AE3" w:rsidP="00E356E5">
      <w:pPr>
        <w:pStyle w:val="BodyText"/>
        <w:spacing w:after="240"/>
        <w:rPr>
          <w:b/>
          <w:i/>
          <w:sz w:val="20"/>
          <w:szCs w:val="20"/>
        </w:rPr>
      </w:pPr>
      <w:r w:rsidRPr="00E356E5">
        <w:rPr>
          <w:b/>
          <w:i/>
          <w:sz w:val="20"/>
          <w:szCs w:val="20"/>
        </w:rPr>
        <w:t>Observation:</w:t>
      </w:r>
    </w:p>
    <w:p w:rsidR="002A2AE3" w:rsidRPr="00E356E5" w:rsidRDefault="002A2AE3" w:rsidP="00E356E5">
      <w:pPr>
        <w:pStyle w:val="BodyText"/>
        <w:numPr>
          <w:ilvl w:val="0"/>
          <w:numId w:val="9"/>
        </w:numPr>
        <w:spacing w:after="240"/>
        <w:jc w:val="both"/>
        <w:rPr>
          <w:b/>
          <w:i/>
          <w:sz w:val="20"/>
          <w:szCs w:val="20"/>
        </w:rPr>
      </w:pPr>
      <w:r w:rsidRPr="00E356E5">
        <w:rPr>
          <w:b/>
          <w:i/>
          <w:sz w:val="20"/>
          <w:szCs w:val="20"/>
        </w:rPr>
        <w:t>LTE</w:t>
      </w:r>
      <w:r w:rsidR="007D4277">
        <w:rPr>
          <w:b/>
          <w:i/>
          <w:sz w:val="20"/>
          <w:szCs w:val="20"/>
        </w:rPr>
        <w:t>-based</w:t>
      </w:r>
      <w:r w:rsidRPr="00E356E5">
        <w:rPr>
          <w:b/>
          <w:i/>
          <w:sz w:val="20"/>
          <w:szCs w:val="20"/>
        </w:rPr>
        <w:t xml:space="preserve"> ITS has the following aspect</w:t>
      </w:r>
      <w:r w:rsidR="00E356E5">
        <w:rPr>
          <w:b/>
          <w:i/>
          <w:sz w:val="20"/>
          <w:szCs w:val="20"/>
        </w:rPr>
        <w:t>s</w:t>
      </w:r>
      <w:r w:rsidRPr="00E356E5">
        <w:rPr>
          <w:b/>
          <w:i/>
          <w:sz w:val="20"/>
          <w:szCs w:val="20"/>
        </w:rPr>
        <w:t xml:space="preserve"> that need to be taken into consideration when designing sensing method for CBR:</w:t>
      </w:r>
    </w:p>
    <w:p w:rsidR="002A2AE3" w:rsidRPr="00E356E5" w:rsidRDefault="002A2AE3" w:rsidP="00E356E5">
      <w:pPr>
        <w:pStyle w:val="BodyText"/>
        <w:numPr>
          <w:ilvl w:val="1"/>
          <w:numId w:val="9"/>
        </w:numPr>
        <w:spacing w:after="240"/>
        <w:jc w:val="both"/>
        <w:rPr>
          <w:b/>
          <w:i/>
          <w:sz w:val="20"/>
          <w:szCs w:val="20"/>
        </w:rPr>
      </w:pPr>
      <w:r w:rsidRPr="00E356E5">
        <w:rPr>
          <w:b/>
          <w:i/>
          <w:sz w:val="20"/>
          <w:szCs w:val="20"/>
        </w:rPr>
        <w:t>A transmission can use only part of the system bandwidth</w:t>
      </w:r>
    </w:p>
    <w:p w:rsidR="002A2AE3" w:rsidRPr="00E356E5" w:rsidRDefault="00E356E5" w:rsidP="00E356E5">
      <w:pPr>
        <w:pStyle w:val="BodyText"/>
        <w:numPr>
          <w:ilvl w:val="1"/>
          <w:numId w:val="9"/>
        </w:numPr>
        <w:spacing w:after="240"/>
        <w:jc w:val="both"/>
        <w:rPr>
          <w:b/>
          <w:i/>
          <w:sz w:val="20"/>
          <w:szCs w:val="20"/>
        </w:rPr>
      </w:pPr>
      <w:r w:rsidRPr="00E356E5">
        <w:rPr>
          <w:b/>
          <w:i/>
          <w:sz w:val="20"/>
          <w:szCs w:val="20"/>
        </w:rPr>
        <w:t>Separate SA and data transmissions</w:t>
      </w:r>
    </w:p>
    <w:p w:rsidR="00E356E5" w:rsidRDefault="00CF3ADC" w:rsidP="002A2AE3">
      <w:pPr>
        <w:pStyle w:val="BodyText"/>
        <w:spacing w:after="240"/>
        <w:jc w:val="both"/>
        <w:rPr>
          <w:sz w:val="20"/>
          <w:szCs w:val="20"/>
        </w:rPr>
      </w:pPr>
      <w:r>
        <w:rPr>
          <w:sz w:val="20"/>
          <w:szCs w:val="20"/>
        </w:rPr>
        <w:t>RAN1</w:t>
      </w:r>
      <w:r w:rsidR="00E356E5">
        <w:rPr>
          <w:sz w:val="20"/>
          <w:szCs w:val="20"/>
        </w:rPr>
        <w:t>#84bis has agreed on having separate SA and data (sub</w:t>
      </w:r>
      <w:proofErr w:type="gramStart"/>
      <w:r w:rsidR="00E356E5">
        <w:rPr>
          <w:sz w:val="20"/>
          <w:szCs w:val="20"/>
        </w:rPr>
        <w:t>)pools</w:t>
      </w:r>
      <w:proofErr w:type="gramEnd"/>
      <w:r w:rsidR="00E356E5">
        <w:rPr>
          <w:sz w:val="20"/>
          <w:szCs w:val="20"/>
        </w:rPr>
        <w:t xml:space="preserve"> and the</w:t>
      </w:r>
      <w:r w:rsidR="002104E3">
        <w:rPr>
          <w:sz w:val="20"/>
          <w:szCs w:val="20"/>
        </w:rPr>
        <w:t>y</w:t>
      </w:r>
      <w:r w:rsidR="00E356E5">
        <w:rPr>
          <w:sz w:val="20"/>
          <w:szCs w:val="20"/>
        </w:rPr>
        <w:t xml:space="preserve"> are </w:t>
      </w:r>
      <w:proofErr w:type="spellStart"/>
      <w:r w:rsidR="00E356E5">
        <w:rPr>
          <w:sz w:val="20"/>
          <w:szCs w:val="20"/>
        </w:rPr>
        <w:t>FDMed</w:t>
      </w:r>
      <w:proofErr w:type="spellEnd"/>
      <w:r w:rsidR="00E356E5">
        <w:rPr>
          <w:sz w:val="20"/>
          <w:szCs w:val="20"/>
        </w:rPr>
        <w:t xml:space="preserve"> from system perspective. </w:t>
      </w:r>
      <w:r w:rsidR="001F6308">
        <w:rPr>
          <w:sz w:val="20"/>
          <w:szCs w:val="20"/>
        </w:rPr>
        <w:t>We believe that</w:t>
      </w:r>
      <w:r w:rsidR="00E356E5">
        <w:rPr>
          <w:sz w:val="20"/>
          <w:szCs w:val="20"/>
        </w:rPr>
        <w:t xml:space="preserve"> </w:t>
      </w:r>
      <w:r w:rsidR="001F6308">
        <w:rPr>
          <w:sz w:val="20"/>
          <w:szCs w:val="20"/>
        </w:rPr>
        <w:t xml:space="preserve">CBR measurement should consider only data resources in order to provide meaningful </w:t>
      </w:r>
      <w:r w:rsidR="00E356E5">
        <w:rPr>
          <w:sz w:val="20"/>
          <w:szCs w:val="20"/>
        </w:rPr>
        <w:t xml:space="preserve">information of the real system load. </w:t>
      </w:r>
      <w:r w:rsidR="001F6308">
        <w:rPr>
          <w:sz w:val="20"/>
          <w:szCs w:val="20"/>
        </w:rPr>
        <w:t xml:space="preserve">For similar reasons, SL-SS </w:t>
      </w:r>
      <w:proofErr w:type="spellStart"/>
      <w:r w:rsidR="001F6308">
        <w:rPr>
          <w:sz w:val="20"/>
          <w:szCs w:val="20"/>
        </w:rPr>
        <w:t>subframes</w:t>
      </w:r>
      <w:proofErr w:type="spellEnd"/>
      <w:r w:rsidR="001F6308">
        <w:rPr>
          <w:sz w:val="20"/>
          <w:szCs w:val="20"/>
        </w:rPr>
        <w:t xml:space="preserve"> should be excluded from the measurement.</w:t>
      </w:r>
      <w:r>
        <w:rPr>
          <w:sz w:val="20"/>
          <w:szCs w:val="20"/>
        </w:rPr>
        <w:t xml:space="preserve"> In case the RAN1#84bis agreement is relaxed and overlap between SA and data pools is allowed, we believe that measuring </w:t>
      </w:r>
      <w:r w:rsidR="00DE633C">
        <w:rPr>
          <w:sz w:val="20"/>
          <w:szCs w:val="20"/>
        </w:rPr>
        <w:t>the load on data resources is still sufficiently reliable.</w:t>
      </w:r>
    </w:p>
    <w:p w:rsidR="00DE633C" w:rsidRDefault="00DE633C" w:rsidP="002A2AE3">
      <w:pPr>
        <w:pStyle w:val="BodyText"/>
        <w:spacing w:after="240"/>
        <w:jc w:val="both"/>
        <w:rPr>
          <w:sz w:val="20"/>
          <w:szCs w:val="20"/>
        </w:rPr>
      </w:pPr>
      <w:r>
        <w:rPr>
          <w:sz w:val="20"/>
          <w:szCs w:val="20"/>
        </w:rPr>
        <w:t>On the other hand we are skeptical to measuring load on SA resources because the SA load does not reflect the average carrier load.</w:t>
      </w:r>
    </w:p>
    <w:p w:rsidR="00E356E5" w:rsidRPr="00E356E5" w:rsidRDefault="00E356E5" w:rsidP="00A9215F">
      <w:pPr>
        <w:pStyle w:val="BodyText"/>
        <w:spacing w:after="240"/>
        <w:jc w:val="both"/>
        <w:rPr>
          <w:b/>
          <w:i/>
          <w:sz w:val="20"/>
          <w:szCs w:val="20"/>
        </w:rPr>
      </w:pPr>
      <w:r w:rsidRPr="00E356E5">
        <w:rPr>
          <w:b/>
          <w:i/>
          <w:sz w:val="20"/>
          <w:szCs w:val="20"/>
        </w:rPr>
        <w:lastRenderedPageBreak/>
        <w:t>Proposal:</w:t>
      </w:r>
    </w:p>
    <w:p w:rsidR="00E356E5" w:rsidRPr="00E356E5" w:rsidRDefault="00E356E5" w:rsidP="00A9215F">
      <w:pPr>
        <w:pStyle w:val="BodyText"/>
        <w:numPr>
          <w:ilvl w:val="0"/>
          <w:numId w:val="9"/>
        </w:numPr>
        <w:spacing w:after="240"/>
        <w:jc w:val="both"/>
        <w:rPr>
          <w:b/>
          <w:i/>
          <w:sz w:val="20"/>
          <w:szCs w:val="20"/>
        </w:rPr>
      </w:pPr>
      <w:r w:rsidRPr="00E356E5">
        <w:rPr>
          <w:b/>
          <w:i/>
          <w:sz w:val="20"/>
          <w:szCs w:val="20"/>
        </w:rPr>
        <w:t xml:space="preserve">Sensing for CBR is only performed on </w:t>
      </w:r>
      <w:r w:rsidR="00DE633C">
        <w:rPr>
          <w:b/>
          <w:i/>
          <w:sz w:val="20"/>
          <w:szCs w:val="20"/>
        </w:rPr>
        <w:t>system time/</w:t>
      </w:r>
      <w:r w:rsidRPr="00E356E5">
        <w:rPr>
          <w:b/>
          <w:i/>
          <w:sz w:val="20"/>
          <w:szCs w:val="20"/>
        </w:rPr>
        <w:t>frequency resources used for data</w:t>
      </w:r>
      <w:r>
        <w:rPr>
          <w:b/>
          <w:i/>
          <w:sz w:val="20"/>
          <w:szCs w:val="20"/>
        </w:rPr>
        <w:t>.</w:t>
      </w:r>
    </w:p>
    <w:p w:rsidR="002A2AE3" w:rsidRDefault="002A2AE3" w:rsidP="002A2AE3">
      <w:pPr>
        <w:pStyle w:val="BodyText"/>
        <w:spacing w:after="240"/>
        <w:jc w:val="both"/>
        <w:rPr>
          <w:sz w:val="20"/>
          <w:szCs w:val="20"/>
        </w:rPr>
      </w:pPr>
      <w:r>
        <w:rPr>
          <w:sz w:val="20"/>
          <w:szCs w:val="20"/>
        </w:rPr>
        <w:t xml:space="preserve">In a companion paper </w:t>
      </w:r>
      <w:r w:rsidR="005B2311">
        <w:rPr>
          <w:sz w:val="20"/>
          <w:szCs w:val="20"/>
        </w:rPr>
        <w:t>[4]</w:t>
      </w:r>
      <w:r>
        <w:rPr>
          <w:sz w:val="20"/>
          <w:szCs w:val="20"/>
        </w:rPr>
        <w:t xml:space="preserve"> we propose to </w:t>
      </w:r>
      <w:r w:rsidR="00E356E5">
        <w:rPr>
          <w:sz w:val="20"/>
          <w:szCs w:val="20"/>
        </w:rPr>
        <w:t xml:space="preserve">divide the </w:t>
      </w:r>
      <w:r w:rsidR="002024FC">
        <w:rPr>
          <w:sz w:val="20"/>
          <w:szCs w:val="20"/>
        </w:rPr>
        <w:t xml:space="preserve">resource blocks used for data into several </w:t>
      </w:r>
      <w:proofErr w:type="spellStart"/>
      <w:r w:rsidR="002024FC">
        <w:rPr>
          <w:sz w:val="20"/>
          <w:szCs w:val="20"/>
        </w:rPr>
        <w:t>subbands</w:t>
      </w:r>
      <w:proofErr w:type="spellEnd"/>
      <w:r w:rsidR="002024FC">
        <w:rPr>
          <w:sz w:val="20"/>
          <w:szCs w:val="20"/>
        </w:rPr>
        <w:t>. This division will lead to more efficient use of system resources and simplify the sensing process for resource selection and reselection. It also facilitates the sensing for CBR as we proposed in the sequel.</w:t>
      </w:r>
    </w:p>
    <w:p w:rsidR="0071277F" w:rsidRDefault="0071277F" w:rsidP="00A9215F">
      <w:pPr>
        <w:pStyle w:val="BodyText"/>
        <w:spacing w:after="240"/>
        <w:jc w:val="both"/>
        <w:rPr>
          <w:b/>
          <w:i/>
          <w:sz w:val="20"/>
          <w:szCs w:val="20"/>
        </w:rPr>
      </w:pPr>
      <w:r w:rsidRPr="0071277F">
        <w:rPr>
          <w:b/>
          <w:i/>
          <w:sz w:val="20"/>
          <w:szCs w:val="20"/>
        </w:rPr>
        <w:t>Proposal:</w:t>
      </w:r>
      <w:r>
        <w:rPr>
          <w:b/>
          <w:i/>
          <w:sz w:val="20"/>
          <w:szCs w:val="20"/>
        </w:rPr>
        <w:t xml:space="preserve"> </w:t>
      </w:r>
    </w:p>
    <w:p w:rsidR="0071277F" w:rsidRPr="002749F8" w:rsidRDefault="0071277F" w:rsidP="00A9215F">
      <w:pPr>
        <w:pStyle w:val="BodyText"/>
        <w:numPr>
          <w:ilvl w:val="0"/>
          <w:numId w:val="12"/>
        </w:numPr>
        <w:spacing w:after="240"/>
        <w:jc w:val="both"/>
        <w:rPr>
          <w:b/>
          <w:i/>
          <w:sz w:val="20"/>
          <w:szCs w:val="20"/>
        </w:rPr>
      </w:pPr>
      <w:r>
        <w:rPr>
          <w:b/>
          <w:i/>
          <w:sz w:val="20"/>
          <w:szCs w:val="20"/>
        </w:rPr>
        <w:t xml:space="preserve">The sensing for determining CBR for LTE ITS is performed </w:t>
      </w:r>
      <w:r w:rsidR="007353B7">
        <w:rPr>
          <w:b/>
          <w:i/>
          <w:sz w:val="20"/>
          <w:szCs w:val="20"/>
        </w:rPr>
        <w:t xml:space="preserve">over </w:t>
      </w:r>
      <w:r w:rsidR="00AB31F0">
        <w:rPr>
          <w:b/>
          <w:i/>
          <w:sz w:val="20"/>
          <w:szCs w:val="20"/>
        </w:rPr>
        <w:t xml:space="preserve">a </w:t>
      </w:r>
      <w:r w:rsidR="007353B7" w:rsidRPr="002749F8">
        <w:rPr>
          <w:b/>
          <w:i/>
          <w:sz w:val="20"/>
          <w:szCs w:val="20"/>
        </w:rPr>
        <w:t>measur</w:t>
      </w:r>
      <w:r w:rsidR="00AB31F0" w:rsidRPr="002749F8">
        <w:rPr>
          <w:b/>
          <w:i/>
          <w:sz w:val="20"/>
          <w:szCs w:val="20"/>
        </w:rPr>
        <w:t>ing</w:t>
      </w:r>
      <w:r w:rsidR="007353B7" w:rsidRPr="002749F8">
        <w:rPr>
          <w:b/>
          <w:i/>
          <w:sz w:val="20"/>
          <w:szCs w:val="20"/>
        </w:rPr>
        <w:t xml:space="preserve"> </w:t>
      </w:r>
      <w:r w:rsidR="00AB31F0" w:rsidRPr="002749F8">
        <w:rPr>
          <w:b/>
          <w:i/>
          <w:sz w:val="20"/>
          <w:szCs w:val="20"/>
        </w:rPr>
        <w:t>interval</w:t>
      </w:r>
      <w:r w:rsidR="002749F8">
        <w:rPr>
          <w:b/>
          <w:i/>
          <w:sz w:val="20"/>
          <w:szCs w:val="20"/>
        </w:rPr>
        <w:t xml:space="preserve"> of all V2V data </w:t>
      </w:r>
      <w:proofErr w:type="spellStart"/>
      <w:r w:rsidR="002749F8">
        <w:rPr>
          <w:b/>
          <w:i/>
          <w:sz w:val="20"/>
          <w:szCs w:val="20"/>
        </w:rPr>
        <w:t>subframes</w:t>
      </w:r>
      <w:proofErr w:type="spellEnd"/>
      <w:r w:rsidR="002749F8">
        <w:rPr>
          <w:b/>
          <w:i/>
          <w:sz w:val="20"/>
          <w:szCs w:val="20"/>
        </w:rPr>
        <w:t xml:space="preserve"> within the previous 100ms </w:t>
      </w:r>
      <w:r w:rsidRPr="002749F8">
        <w:rPr>
          <w:b/>
          <w:i/>
          <w:sz w:val="20"/>
          <w:szCs w:val="20"/>
        </w:rPr>
        <w:t>as follows:</w:t>
      </w:r>
    </w:p>
    <w:p w:rsidR="0071277F" w:rsidRPr="002749F8" w:rsidRDefault="00232061" w:rsidP="0071277F">
      <w:pPr>
        <w:pStyle w:val="BodyText"/>
        <w:numPr>
          <w:ilvl w:val="1"/>
          <w:numId w:val="9"/>
        </w:numPr>
        <w:spacing w:after="240"/>
        <w:jc w:val="both"/>
        <w:rPr>
          <w:b/>
          <w:i/>
          <w:sz w:val="20"/>
          <w:szCs w:val="20"/>
        </w:rPr>
      </w:pPr>
      <w:r w:rsidRPr="002749F8">
        <w:rPr>
          <w:b/>
          <w:i/>
          <w:sz w:val="20"/>
          <w:szCs w:val="20"/>
        </w:rPr>
        <w:t xml:space="preserve">The data </w:t>
      </w:r>
      <w:r w:rsidR="00DE633C" w:rsidRPr="002749F8">
        <w:rPr>
          <w:b/>
          <w:i/>
          <w:sz w:val="20"/>
          <w:szCs w:val="20"/>
        </w:rPr>
        <w:t xml:space="preserve">system </w:t>
      </w:r>
      <w:r w:rsidRPr="002749F8">
        <w:rPr>
          <w:b/>
          <w:i/>
          <w:sz w:val="20"/>
          <w:szCs w:val="20"/>
        </w:rPr>
        <w:t xml:space="preserve">resources are divided into </w:t>
      </w:r>
      <w:proofErr w:type="spellStart"/>
      <w:r w:rsidRPr="002749F8">
        <w:rPr>
          <w:b/>
          <w:i/>
          <w:sz w:val="20"/>
          <w:szCs w:val="20"/>
        </w:rPr>
        <w:t>subbands</w:t>
      </w:r>
      <w:proofErr w:type="spellEnd"/>
      <w:r w:rsidRPr="002749F8">
        <w:rPr>
          <w:b/>
          <w:i/>
          <w:sz w:val="20"/>
          <w:szCs w:val="20"/>
        </w:rPr>
        <w:t xml:space="preserve"> </w:t>
      </w:r>
    </w:p>
    <w:p w:rsidR="00232061" w:rsidRPr="0071277F" w:rsidRDefault="00951511" w:rsidP="0071277F">
      <w:pPr>
        <w:pStyle w:val="BodyText"/>
        <w:numPr>
          <w:ilvl w:val="2"/>
          <w:numId w:val="9"/>
        </w:numPr>
        <w:spacing w:after="240"/>
        <w:jc w:val="both"/>
        <w:rPr>
          <w:b/>
          <w:i/>
          <w:sz w:val="20"/>
          <w:szCs w:val="20"/>
        </w:rPr>
      </w:pPr>
      <w:r>
        <w:rPr>
          <w:b/>
          <w:i/>
          <w:sz w:val="20"/>
          <w:szCs w:val="20"/>
        </w:rPr>
        <w:t xml:space="preserve">FFS the number of </w:t>
      </w:r>
      <w:proofErr w:type="spellStart"/>
      <w:proofErr w:type="gramStart"/>
      <w:r>
        <w:rPr>
          <w:b/>
          <w:i/>
          <w:sz w:val="20"/>
          <w:szCs w:val="20"/>
        </w:rPr>
        <w:t>subbands</w:t>
      </w:r>
      <w:proofErr w:type="spellEnd"/>
      <w:r w:rsidR="001F6308">
        <w:rPr>
          <w:b/>
          <w:i/>
          <w:sz w:val="20"/>
          <w:szCs w:val="20"/>
        </w:rPr>
        <w:t>,</w:t>
      </w:r>
      <w:proofErr w:type="gramEnd"/>
      <w:r w:rsidR="001F6308">
        <w:rPr>
          <w:b/>
          <w:i/>
          <w:sz w:val="20"/>
          <w:szCs w:val="20"/>
        </w:rPr>
        <w:t xml:space="preserve"> preferably aligned with PC5 scheduling granularity in frequency domain.</w:t>
      </w:r>
    </w:p>
    <w:p w:rsidR="007353B7" w:rsidRPr="005B2311" w:rsidRDefault="00232061" w:rsidP="00A9215F">
      <w:pPr>
        <w:pStyle w:val="BodyText"/>
        <w:numPr>
          <w:ilvl w:val="1"/>
          <w:numId w:val="9"/>
        </w:numPr>
        <w:spacing w:after="240"/>
        <w:jc w:val="both"/>
        <w:rPr>
          <w:b/>
          <w:i/>
          <w:sz w:val="20"/>
          <w:szCs w:val="20"/>
        </w:rPr>
      </w:pPr>
      <w:r w:rsidRPr="0071277F">
        <w:rPr>
          <w:b/>
          <w:i/>
          <w:sz w:val="20"/>
          <w:szCs w:val="20"/>
        </w:rPr>
        <w:t xml:space="preserve">Each probe consists </w:t>
      </w:r>
      <w:r w:rsidRPr="005B2311">
        <w:rPr>
          <w:b/>
          <w:i/>
          <w:sz w:val="20"/>
          <w:szCs w:val="20"/>
        </w:rPr>
        <w:t xml:space="preserve">of measuring the average </w:t>
      </w:r>
      <w:r w:rsidR="00222EFB" w:rsidRPr="005B2311">
        <w:rPr>
          <w:b/>
          <w:i/>
          <w:sz w:val="20"/>
          <w:szCs w:val="20"/>
        </w:rPr>
        <w:t xml:space="preserve">signal </w:t>
      </w:r>
      <w:r w:rsidR="001F6308" w:rsidRPr="005B2311">
        <w:rPr>
          <w:b/>
          <w:i/>
          <w:sz w:val="20"/>
          <w:szCs w:val="20"/>
        </w:rPr>
        <w:t xml:space="preserve">power </w:t>
      </w:r>
      <w:r w:rsidRPr="005B2311">
        <w:rPr>
          <w:b/>
          <w:i/>
          <w:sz w:val="20"/>
          <w:szCs w:val="20"/>
        </w:rPr>
        <w:t xml:space="preserve">S over </w:t>
      </w:r>
      <w:r w:rsidR="0071277F" w:rsidRPr="005B2311">
        <w:rPr>
          <w:b/>
          <w:i/>
          <w:sz w:val="20"/>
          <w:szCs w:val="20"/>
        </w:rPr>
        <w:t xml:space="preserve">a single </w:t>
      </w:r>
      <w:r w:rsidR="001F6308" w:rsidRPr="005B2311">
        <w:rPr>
          <w:b/>
          <w:i/>
          <w:sz w:val="20"/>
          <w:szCs w:val="20"/>
        </w:rPr>
        <w:t xml:space="preserve">data </w:t>
      </w:r>
      <w:proofErr w:type="spellStart"/>
      <w:r w:rsidRPr="005B2311">
        <w:rPr>
          <w:b/>
          <w:i/>
          <w:sz w:val="20"/>
          <w:szCs w:val="20"/>
        </w:rPr>
        <w:t>subband</w:t>
      </w:r>
      <w:proofErr w:type="spellEnd"/>
      <w:r w:rsidR="007353B7" w:rsidRPr="005B2311">
        <w:rPr>
          <w:b/>
          <w:i/>
          <w:sz w:val="20"/>
          <w:szCs w:val="20"/>
        </w:rPr>
        <w:t xml:space="preserve"> over a</w:t>
      </w:r>
      <w:r w:rsidR="001F6308" w:rsidRPr="005B2311">
        <w:rPr>
          <w:b/>
          <w:i/>
          <w:sz w:val="20"/>
          <w:szCs w:val="20"/>
        </w:rPr>
        <w:t xml:space="preserve"> single</w:t>
      </w:r>
      <w:r w:rsidR="00E33E8F" w:rsidRPr="005B2311">
        <w:rPr>
          <w:b/>
          <w:i/>
          <w:sz w:val="20"/>
          <w:szCs w:val="20"/>
        </w:rPr>
        <w:t xml:space="preserve"> </w:t>
      </w:r>
      <w:proofErr w:type="spellStart"/>
      <w:r w:rsidR="00E33E8F" w:rsidRPr="005B2311">
        <w:rPr>
          <w:b/>
          <w:i/>
          <w:sz w:val="20"/>
          <w:szCs w:val="20"/>
        </w:rPr>
        <w:t>subframe</w:t>
      </w:r>
      <w:proofErr w:type="spellEnd"/>
      <w:r w:rsidR="001F6308" w:rsidRPr="005B2311">
        <w:rPr>
          <w:b/>
          <w:i/>
          <w:sz w:val="20"/>
          <w:szCs w:val="20"/>
        </w:rPr>
        <w:t>.</w:t>
      </w:r>
    </w:p>
    <w:p w:rsidR="0071277F" w:rsidRPr="005B2311" w:rsidRDefault="00232061" w:rsidP="0071277F">
      <w:pPr>
        <w:pStyle w:val="BodyText"/>
        <w:numPr>
          <w:ilvl w:val="1"/>
          <w:numId w:val="9"/>
        </w:numPr>
        <w:spacing w:after="240"/>
        <w:jc w:val="both"/>
        <w:rPr>
          <w:b/>
          <w:i/>
          <w:sz w:val="20"/>
          <w:szCs w:val="20"/>
        </w:rPr>
      </w:pPr>
      <w:r w:rsidRPr="005B2311">
        <w:rPr>
          <w:b/>
          <w:i/>
          <w:sz w:val="20"/>
          <w:szCs w:val="20"/>
        </w:rPr>
        <w:t xml:space="preserve">The probe is declared busy if S exceeds </w:t>
      </w:r>
      <w:r w:rsidR="0071277F" w:rsidRPr="005B2311">
        <w:rPr>
          <w:b/>
          <w:i/>
          <w:sz w:val="20"/>
          <w:szCs w:val="20"/>
        </w:rPr>
        <w:t>a</w:t>
      </w:r>
      <w:r w:rsidR="002749F8" w:rsidRPr="005B2311">
        <w:rPr>
          <w:b/>
          <w:i/>
          <w:sz w:val="20"/>
          <w:szCs w:val="20"/>
        </w:rPr>
        <w:t xml:space="preserve"> pre-defined power</w:t>
      </w:r>
      <w:r w:rsidR="0071277F" w:rsidRPr="005B2311">
        <w:rPr>
          <w:b/>
          <w:i/>
          <w:sz w:val="20"/>
          <w:szCs w:val="20"/>
        </w:rPr>
        <w:t xml:space="preserve"> </w:t>
      </w:r>
      <w:r w:rsidRPr="005B2311">
        <w:rPr>
          <w:b/>
          <w:i/>
          <w:sz w:val="20"/>
          <w:szCs w:val="20"/>
        </w:rPr>
        <w:t>threshold</w:t>
      </w:r>
      <w:r w:rsidR="0071277F" w:rsidRPr="005B2311">
        <w:rPr>
          <w:b/>
          <w:i/>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2024FC" w:rsidRPr="005B2311" w:rsidRDefault="007353B7" w:rsidP="0071277F">
      <w:pPr>
        <w:pStyle w:val="BodyText"/>
        <w:numPr>
          <w:ilvl w:val="1"/>
          <w:numId w:val="9"/>
        </w:numPr>
        <w:spacing w:after="240"/>
        <w:jc w:val="both"/>
        <w:rPr>
          <w:b/>
          <w:i/>
          <w:sz w:val="20"/>
          <w:szCs w:val="20"/>
        </w:rPr>
      </w:pPr>
      <m:oMath>
        <m:r>
          <m:rPr>
            <m:sty m:val="bi"/>
          </m:rPr>
          <w:rPr>
            <w:rFonts w:ascii="Cambria Math" w:hAnsi="Cambria Math"/>
            <w:sz w:val="20"/>
            <w:szCs w:val="20"/>
          </w:rPr>
          <m:t>CBR</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e>
        </m:d>
        <m:r>
          <m:rPr>
            <m:sty m:val="bi"/>
          </m:rPr>
          <w:rPr>
            <w:rFonts w:ascii="Cambria Math" w:hAnsi="Cambria Math"/>
            <w:sz w:val="20"/>
            <w:szCs w:val="20"/>
          </w:rPr>
          <m:t>=</m:t>
        </m:r>
      </m:oMath>
      <w:r w:rsidR="00232061" w:rsidRPr="005B2311">
        <w:rPr>
          <w:b/>
          <w:i/>
          <w:sz w:val="20"/>
          <w:szCs w:val="20"/>
        </w:rPr>
        <w:t xml:space="preserve"> </w:t>
      </w:r>
      <m:oMath>
        <m:f>
          <m:fPr>
            <m:ctrlPr>
              <w:rPr>
                <w:rFonts w:ascii="Cambria Math" w:hAnsi="Cambria Math"/>
                <w:b/>
                <w:i/>
                <w:sz w:val="20"/>
                <w:szCs w:val="20"/>
              </w:rPr>
            </m:ctrlPr>
          </m:fPr>
          <m:num>
            <m:r>
              <m:rPr>
                <m:sty m:val="bi"/>
              </m:rPr>
              <w:rPr>
                <w:rFonts w:ascii="Cambria Math" w:hAnsi="Cambria Math"/>
                <w:sz w:val="20"/>
                <w:szCs w:val="20"/>
              </w:rPr>
              <m:t xml:space="preserve">number of busy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num>
          <m:den>
            <m:r>
              <m:rPr>
                <m:sty m:val="bi"/>
              </m:rPr>
              <w:rPr>
                <w:rFonts w:ascii="Cambria Math" w:hAnsi="Cambria Math"/>
                <w:sz w:val="20"/>
                <w:szCs w:val="20"/>
              </w:rPr>
              <m:t xml:space="preserve">total number of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den>
        </m:f>
        <m:r>
          <m:rPr>
            <m:sty m:val="bi"/>
          </m:rPr>
          <w:rPr>
            <w:rFonts w:ascii="Cambria Math" w:hAnsi="Cambria Math"/>
            <w:sz w:val="20"/>
            <w:szCs w:val="20"/>
          </w:rPr>
          <m:t>.</m:t>
        </m:r>
      </m:oMath>
    </w:p>
    <w:p w:rsidR="00232061" w:rsidRDefault="00232061" w:rsidP="00B236CD">
      <w:pPr>
        <w:pStyle w:val="BodyText"/>
        <w:spacing w:after="240"/>
        <w:jc w:val="both"/>
        <w:rPr>
          <w:sz w:val="20"/>
          <w:szCs w:val="20"/>
        </w:rPr>
      </w:pPr>
      <w:r>
        <w:rPr>
          <w:sz w:val="20"/>
          <w:szCs w:val="20"/>
        </w:rPr>
        <w:t xml:space="preserve">We emphasize </w:t>
      </w:r>
      <w:r w:rsidR="00951511">
        <w:rPr>
          <w:sz w:val="20"/>
          <w:szCs w:val="20"/>
        </w:rPr>
        <w:t>the following important aspects in designing the parameters:</w:t>
      </w:r>
    </w:p>
    <w:p w:rsidR="00951511" w:rsidRDefault="00951511" w:rsidP="00951511">
      <w:pPr>
        <w:pStyle w:val="BodyText"/>
        <w:numPr>
          <w:ilvl w:val="0"/>
          <w:numId w:val="11"/>
        </w:numPr>
        <w:spacing w:after="240"/>
        <w:jc w:val="both"/>
        <w:rPr>
          <w:sz w:val="20"/>
          <w:szCs w:val="20"/>
        </w:rPr>
      </w:pPr>
      <w:r>
        <w:rPr>
          <w:sz w:val="20"/>
          <w:szCs w:val="20"/>
        </w:rPr>
        <w:t>The number of samples taken in each probe should be large enough to have reliable statistics</w:t>
      </w:r>
      <w:r w:rsidR="00496DEC">
        <w:rPr>
          <w:sz w:val="20"/>
          <w:szCs w:val="20"/>
        </w:rPr>
        <w:t>, details are up to RAN4</w:t>
      </w:r>
      <w:r>
        <w:rPr>
          <w:sz w:val="20"/>
          <w:szCs w:val="20"/>
        </w:rPr>
        <w:t>.</w:t>
      </w:r>
    </w:p>
    <w:p w:rsidR="001F6308" w:rsidRDefault="00951511" w:rsidP="001F6308">
      <w:pPr>
        <w:pStyle w:val="BodyText"/>
        <w:numPr>
          <w:ilvl w:val="0"/>
          <w:numId w:val="11"/>
        </w:numPr>
        <w:spacing w:after="240"/>
        <w:jc w:val="both"/>
        <w:rPr>
          <w:sz w:val="20"/>
          <w:szCs w:val="20"/>
        </w:rPr>
      </w:pPr>
      <w:r>
        <w:rPr>
          <w:sz w:val="20"/>
          <w:szCs w:val="20"/>
        </w:rPr>
        <w:t xml:space="preserve">The threshold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r>
        <w:rPr>
          <w:b/>
          <w:sz w:val="20"/>
          <w:szCs w:val="20"/>
        </w:rPr>
        <w:t xml:space="preserve"> </w:t>
      </w:r>
      <w:r w:rsidRPr="00064DDF">
        <w:rPr>
          <w:sz w:val="20"/>
          <w:szCs w:val="20"/>
        </w:rPr>
        <w:t xml:space="preserve">needs to be sufficiently larger than the </w:t>
      </w:r>
      <w:r w:rsidR="00222EFB">
        <w:rPr>
          <w:sz w:val="20"/>
          <w:szCs w:val="20"/>
        </w:rPr>
        <w:t xml:space="preserve">effective </w:t>
      </w:r>
      <w:r w:rsidR="00064DDF" w:rsidRPr="00064DDF">
        <w:rPr>
          <w:sz w:val="20"/>
          <w:szCs w:val="20"/>
        </w:rPr>
        <w:t xml:space="preserve">noise </w:t>
      </w:r>
      <w:r w:rsidR="00222EFB">
        <w:rPr>
          <w:sz w:val="20"/>
          <w:szCs w:val="20"/>
        </w:rPr>
        <w:t xml:space="preserve">power </w:t>
      </w:r>
      <w:r w:rsidR="00064DDF" w:rsidRPr="00064DDF">
        <w:rPr>
          <w:sz w:val="20"/>
          <w:szCs w:val="20"/>
        </w:rPr>
        <w:t xml:space="preserve">on the </w:t>
      </w:r>
      <w:proofErr w:type="spellStart"/>
      <w:r w:rsidR="00064DDF" w:rsidRPr="00064DDF">
        <w:rPr>
          <w:sz w:val="20"/>
          <w:szCs w:val="20"/>
        </w:rPr>
        <w:t>subband</w:t>
      </w:r>
      <w:proofErr w:type="spellEnd"/>
      <w:r w:rsidR="00064DDF" w:rsidRPr="00064DDF">
        <w:rPr>
          <w:sz w:val="20"/>
          <w:szCs w:val="20"/>
        </w:rPr>
        <w:t xml:space="preserve"> </w:t>
      </w:r>
      <w:r w:rsidR="00064DDF">
        <w:rPr>
          <w:sz w:val="20"/>
          <w:szCs w:val="20"/>
        </w:rPr>
        <w:t xml:space="preserve">to avoid false </w:t>
      </w:r>
      <w:r w:rsidR="005B2311">
        <w:rPr>
          <w:sz w:val="20"/>
          <w:szCs w:val="20"/>
        </w:rPr>
        <w:t>alarm in declaring a busy probe</w:t>
      </w:r>
      <w:r w:rsidR="005B2311">
        <w:rPr>
          <w:sz w:val="20"/>
          <w:szCs w:val="20"/>
        </w:rPr>
        <w:t>, details are up to RAN4</w:t>
      </w:r>
      <w:r w:rsidR="00064DDF" w:rsidRPr="00064DDF">
        <w:rPr>
          <w:sz w:val="20"/>
          <w:szCs w:val="20"/>
        </w:rPr>
        <w:t xml:space="preserve"> </w:t>
      </w:r>
    </w:p>
    <w:p w:rsidR="00D0339F" w:rsidRPr="00744368" w:rsidRDefault="00D0339F" w:rsidP="00D0339F">
      <w:pPr>
        <w:pStyle w:val="Heading1"/>
      </w:pPr>
      <w:r w:rsidRPr="00744368">
        <w:t>Conclusion</w:t>
      </w:r>
      <w:r w:rsidR="00A11B11" w:rsidRPr="00744368">
        <w:t xml:space="preserve"> </w:t>
      </w:r>
    </w:p>
    <w:p w:rsidR="00A90703" w:rsidRDefault="00A90703" w:rsidP="00B4256E">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C2242A">
        <w:rPr>
          <w:spacing w:val="2"/>
          <w:sz w:val="20"/>
          <w:szCs w:val="20"/>
        </w:rPr>
        <w:t>CBR</w:t>
      </w:r>
      <w:r w:rsidR="001F6308">
        <w:rPr>
          <w:spacing w:val="2"/>
          <w:sz w:val="20"/>
          <w:szCs w:val="20"/>
        </w:rPr>
        <w:t xml:space="preserve"> measurement</w:t>
      </w:r>
      <w:r w:rsidR="00C2242A">
        <w:rPr>
          <w:spacing w:val="2"/>
          <w:sz w:val="20"/>
          <w:szCs w:val="20"/>
        </w:rPr>
        <w:t>.</w:t>
      </w:r>
    </w:p>
    <w:p w:rsidR="005B2311" w:rsidRPr="00B236CD" w:rsidRDefault="005B2311" w:rsidP="005B2311">
      <w:pPr>
        <w:pStyle w:val="BodyText"/>
        <w:spacing w:after="240"/>
        <w:rPr>
          <w:b/>
          <w:i/>
          <w:sz w:val="20"/>
          <w:szCs w:val="20"/>
        </w:rPr>
      </w:pPr>
      <w:r w:rsidRPr="00B236CD">
        <w:rPr>
          <w:b/>
          <w:i/>
          <w:sz w:val="20"/>
          <w:szCs w:val="20"/>
        </w:rPr>
        <w:t xml:space="preserve">Observation: </w:t>
      </w:r>
    </w:p>
    <w:p w:rsidR="005B2311" w:rsidRPr="00B236CD" w:rsidRDefault="005B2311" w:rsidP="005B2311">
      <w:pPr>
        <w:pStyle w:val="BodyText"/>
        <w:numPr>
          <w:ilvl w:val="0"/>
          <w:numId w:val="9"/>
        </w:numPr>
        <w:spacing w:after="240"/>
        <w:jc w:val="both"/>
        <w:rPr>
          <w:b/>
          <w:i/>
          <w:sz w:val="20"/>
          <w:szCs w:val="20"/>
        </w:rPr>
      </w:pPr>
      <w:r>
        <w:rPr>
          <w:b/>
          <w:i/>
          <w:sz w:val="20"/>
          <w:szCs w:val="20"/>
        </w:rPr>
        <w:t>The channel occupancy level is crucial for the congestion control algorithms.</w:t>
      </w:r>
      <w:r w:rsidRPr="00B236CD">
        <w:rPr>
          <w:b/>
          <w:i/>
          <w:sz w:val="20"/>
          <w:szCs w:val="20"/>
        </w:rPr>
        <w:t xml:space="preserve"> </w:t>
      </w:r>
    </w:p>
    <w:p w:rsidR="005B2311" w:rsidRPr="00B236CD" w:rsidRDefault="005B2311" w:rsidP="005B2311">
      <w:pPr>
        <w:pStyle w:val="BodyText"/>
        <w:spacing w:after="240"/>
        <w:rPr>
          <w:b/>
          <w:i/>
          <w:sz w:val="20"/>
          <w:szCs w:val="20"/>
        </w:rPr>
      </w:pPr>
      <w:r w:rsidRPr="00B236CD">
        <w:rPr>
          <w:b/>
          <w:i/>
          <w:sz w:val="20"/>
          <w:szCs w:val="20"/>
        </w:rPr>
        <w:t>Observation:</w:t>
      </w:r>
    </w:p>
    <w:p w:rsidR="005B2311" w:rsidRPr="00B236CD" w:rsidRDefault="005B2311" w:rsidP="005B2311">
      <w:pPr>
        <w:pStyle w:val="BodyText"/>
        <w:numPr>
          <w:ilvl w:val="0"/>
          <w:numId w:val="9"/>
        </w:numPr>
        <w:spacing w:after="240"/>
        <w:jc w:val="both"/>
        <w:rPr>
          <w:b/>
          <w:i/>
          <w:sz w:val="20"/>
          <w:szCs w:val="20"/>
        </w:rPr>
      </w:pPr>
      <w:r w:rsidRPr="00B236CD">
        <w:rPr>
          <w:b/>
          <w:i/>
          <w:sz w:val="20"/>
          <w:szCs w:val="20"/>
        </w:rPr>
        <w:t xml:space="preserve">The CBR </w:t>
      </w:r>
      <w:r>
        <w:rPr>
          <w:b/>
          <w:i/>
          <w:sz w:val="20"/>
          <w:szCs w:val="20"/>
        </w:rPr>
        <w:t>defined</w:t>
      </w:r>
      <w:r w:rsidRPr="00B236CD">
        <w:rPr>
          <w:b/>
          <w:i/>
          <w:sz w:val="20"/>
          <w:szCs w:val="20"/>
        </w:rPr>
        <w:t xml:space="preserve"> </w:t>
      </w:r>
      <w:r>
        <w:rPr>
          <w:b/>
          <w:i/>
          <w:sz w:val="20"/>
          <w:szCs w:val="20"/>
        </w:rPr>
        <w:t xml:space="preserve">in </w:t>
      </w:r>
      <w:r>
        <w:rPr>
          <w:b/>
          <w:i/>
          <w:sz w:val="20"/>
          <w:szCs w:val="20"/>
        </w:rPr>
        <w:fldChar w:fldCharType="begin"/>
      </w:r>
      <w:r>
        <w:rPr>
          <w:b/>
          <w:i/>
          <w:sz w:val="20"/>
          <w:szCs w:val="20"/>
        </w:rPr>
        <w:instrText xml:space="preserve"> REF _Ref450500551 \r \h </w:instrText>
      </w:r>
      <w:r>
        <w:rPr>
          <w:b/>
          <w:i/>
          <w:sz w:val="20"/>
          <w:szCs w:val="20"/>
        </w:rPr>
      </w:r>
      <w:r>
        <w:rPr>
          <w:b/>
          <w:i/>
          <w:sz w:val="20"/>
          <w:szCs w:val="20"/>
        </w:rPr>
        <w:fldChar w:fldCharType="separate"/>
      </w:r>
      <w:r>
        <w:rPr>
          <w:b/>
          <w:i/>
          <w:sz w:val="20"/>
          <w:szCs w:val="20"/>
        </w:rPr>
        <w:t>[1</w:t>
      </w:r>
      <w:proofErr w:type="gramStart"/>
      <w:r>
        <w:rPr>
          <w:b/>
          <w:i/>
          <w:sz w:val="20"/>
          <w:szCs w:val="20"/>
        </w:rPr>
        <w:t>]</w:t>
      </w:r>
      <w:proofErr w:type="gramEnd"/>
      <w:r>
        <w:rPr>
          <w:b/>
          <w:i/>
          <w:sz w:val="20"/>
          <w:szCs w:val="20"/>
        </w:rPr>
        <w:fldChar w:fldCharType="end"/>
      </w:r>
      <w:r w:rsidRPr="007B3D60">
        <w:rPr>
          <w:b/>
          <w:i/>
          <w:sz w:val="20"/>
          <w:szCs w:val="20"/>
        </w:rPr>
        <w:fldChar w:fldCharType="begin"/>
      </w:r>
      <w:r w:rsidRPr="007B3D60">
        <w:rPr>
          <w:b/>
          <w:i/>
          <w:sz w:val="20"/>
          <w:szCs w:val="20"/>
        </w:rPr>
        <w:instrText xml:space="preserve"> REF _Ref450814624 \r \h  \* MERGEFORMAT </w:instrText>
      </w:r>
      <w:r w:rsidRPr="007B3D60">
        <w:rPr>
          <w:b/>
          <w:i/>
          <w:sz w:val="20"/>
          <w:szCs w:val="20"/>
        </w:rPr>
      </w:r>
      <w:r w:rsidRPr="007B3D60">
        <w:rPr>
          <w:b/>
          <w:i/>
          <w:sz w:val="20"/>
          <w:szCs w:val="20"/>
        </w:rPr>
        <w:fldChar w:fldCharType="separate"/>
      </w:r>
      <w:r>
        <w:rPr>
          <w:b/>
          <w:i/>
          <w:sz w:val="20"/>
          <w:szCs w:val="20"/>
        </w:rPr>
        <w:t>[2]</w:t>
      </w:r>
      <w:r w:rsidRPr="007B3D60">
        <w:rPr>
          <w:b/>
          <w:i/>
          <w:sz w:val="20"/>
          <w:szCs w:val="20"/>
        </w:rPr>
        <w:fldChar w:fldCharType="end"/>
      </w:r>
      <w:r w:rsidRPr="00B236CD">
        <w:rPr>
          <w:b/>
          <w:i/>
          <w:sz w:val="20"/>
          <w:szCs w:val="20"/>
        </w:rPr>
        <w:t xml:space="preserve"> can be considered as the channel occupancy </w:t>
      </w:r>
      <w:r>
        <w:rPr>
          <w:b/>
          <w:i/>
          <w:sz w:val="20"/>
          <w:szCs w:val="20"/>
        </w:rPr>
        <w:t xml:space="preserve">level </w:t>
      </w:r>
      <w:r w:rsidRPr="00B236CD">
        <w:rPr>
          <w:b/>
          <w:i/>
          <w:sz w:val="20"/>
          <w:szCs w:val="20"/>
        </w:rPr>
        <w:t xml:space="preserve">for </w:t>
      </w:r>
      <w:r>
        <w:rPr>
          <w:b/>
          <w:i/>
          <w:sz w:val="20"/>
          <w:szCs w:val="20"/>
        </w:rPr>
        <w:t>congestion control</w:t>
      </w:r>
      <w:r w:rsidRPr="00B236CD">
        <w:rPr>
          <w:b/>
          <w:i/>
          <w:sz w:val="20"/>
          <w:szCs w:val="20"/>
        </w:rPr>
        <w:t xml:space="preserve"> in LTE-based ITS</w:t>
      </w:r>
      <w:r>
        <w:rPr>
          <w:b/>
          <w:i/>
          <w:sz w:val="20"/>
          <w:szCs w:val="20"/>
        </w:rPr>
        <w:t>, under appropriate design</w:t>
      </w:r>
      <w:r w:rsidRPr="007B3D60">
        <w:rPr>
          <w:b/>
          <w:i/>
          <w:sz w:val="20"/>
          <w:szCs w:val="20"/>
        </w:rPr>
        <w:t xml:space="preserve"> of the sensing method</w:t>
      </w:r>
      <w:r w:rsidRPr="00B236CD">
        <w:rPr>
          <w:b/>
          <w:i/>
          <w:sz w:val="20"/>
          <w:szCs w:val="20"/>
        </w:rPr>
        <w:t xml:space="preserve">. </w:t>
      </w:r>
    </w:p>
    <w:p w:rsidR="005B2311" w:rsidRPr="00E356E5" w:rsidRDefault="005B2311" w:rsidP="005B2311">
      <w:pPr>
        <w:pStyle w:val="BodyText"/>
        <w:spacing w:after="240"/>
        <w:rPr>
          <w:b/>
          <w:i/>
          <w:sz w:val="20"/>
          <w:szCs w:val="20"/>
        </w:rPr>
      </w:pPr>
      <w:r w:rsidRPr="00E356E5">
        <w:rPr>
          <w:b/>
          <w:i/>
          <w:sz w:val="20"/>
          <w:szCs w:val="20"/>
        </w:rPr>
        <w:t>Observation:</w:t>
      </w:r>
    </w:p>
    <w:p w:rsidR="005B2311" w:rsidRPr="00E356E5" w:rsidRDefault="005B2311" w:rsidP="005B2311">
      <w:pPr>
        <w:pStyle w:val="BodyText"/>
        <w:numPr>
          <w:ilvl w:val="0"/>
          <w:numId w:val="9"/>
        </w:numPr>
        <w:spacing w:after="240"/>
        <w:jc w:val="both"/>
        <w:rPr>
          <w:b/>
          <w:i/>
          <w:sz w:val="20"/>
          <w:szCs w:val="20"/>
        </w:rPr>
      </w:pPr>
      <w:r w:rsidRPr="00E356E5">
        <w:rPr>
          <w:b/>
          <w:i/>
          <w:sz w:val="20"/>
          <w:szCs w:val="20"/>
        </w:rPr>
        <w:t>LTE</w:t>
      </w:r>
      <w:r>
        <w:rPr>
          <w:b/>
          <w:i/>
          <w:sz w:val="20"/>
          <w:szCs w:val="20"/>
        </w:rPr>
        <w:t>-based</w:t>
      </w:r>
      <w:r w:rsidRPr="00E356E5">
        <w:rPr>
          <w:b/>
          <w:i/>
          <w:sz w:val="20"/>
          <w:szCs w:val="20"/>
        </w:rPr>
        <w:t xml:space="preserve"> ITS has the following aspect</w:t>
      </w:r>
      <w:r>
        <w:rPr>
          <w:b/>
          <w:i/>
          <w:sz w:val="20"/>
          <w:szCs w:val="20"/>
        </w:rPr>
        <w:t>s</w:t>
      </w:r>
      <w:r w:rsidRPr="00E356E5">
        <w:rPr>
          <w:b/>
          <w:i/>
          <w:sz w:val="20"/>
          <w:szCs w:val="20"/>
        </w:rPr>
        <w:t xml:space="preserve"> that need to be taken into consideration when designing sensing method for CBR:</w:t>
      </w:r>
    </w:p>
    <w:p w:rsidR="005B2311" w:rsidRPr="00E356E5" w:rsidRDefault="005B2311" w:rsidP="005B2311">
      <w:pPr>
        <w:pStyle w:val="BodyText"/>
        <w:numPr>
          <w:ilvl w:val="1"/>
          <w:numId w:val="9"/>
        </w:numPr>
        <w:spacing w:after="240"/>
        <w:jc w:val="both"/>
        <w:rPr>
          <w:b/>
          <w:i/>
          <w:sz w:val="20"/>
          <w:szCs w:val="20"/>
        </w:rPr>
      </w:pPr>
      <w:r w:rsidRPr="00E356E5">
        <w:rPr>
          <w:b/>
          <w:i/>
          <w:sz w:val="20"/>
          <w:szCs w:val="20"/>
        </w:rPr>
        <w:t>A transmission can use only part of the system bandwidth</w:t>
      </w:r>
    </w:p>
    <w:p w:rsidR="005B2311" w:rsidRPr="00E356E5" w:rsidRDefault="005B2311" w:rsidP="005B2311">
      <w:pPr>
        <w:pStyle w:val="BodyText"/>
        <w:numPr>
          <w:ilvl w:val="1"/>
          <w:numId w:val="9"/>
        </w:numPr>
        <w:spacing w:after="240"/>
        <w:jc w:val="both"/>
        <w:rPr>
          <w:b/>
          <w:i/>
          <w:sz w:val="20"/>
          <w:szCs w:val="20"/>
        </w:rPr>
      </w:pPr>
      <w:r w:rsidRPr="00E356E5">
        <w:rPr>
          <w:b/>
          <w:i/>
          <w:sz w:val="20"/>
          <w:szCs w:val="20"/>
        </w:rPr>
        <w:t>Separate SA and data transmissions</w:t>
      </w:r>
    </w:p>
    <w:p w:rsidR="005B2311" w:rsidRPr="00E356E5" w:rsidRDefault="005B2311" w:rsidP="005B2311">
      <w:pPr>
        <w:pStyle w:val="BodyText"/>
        <w:spacing w:after="240"/>
        <w:jc w:val="both"/>
        <w:rPr>
          <w:b/>
          <w:i/>
          <w:sz w:val="20"/>
          <w:szCs w:val="20"/>
        </w:rPr>
      </w:pPr>
      <w:r w:rsidRPr="00E356E5">
        <w:rPr>
          <w:b/>
          <w:i/>
          <w:sz w:val="20"/>
          <w:szCs w:val="20"/>
        </w:rPr>
        <w:t>Proposal:</w:t>
      </w:r>
    </w:p>
    <w:p w:rsidR="005B2311" w:rsidRPr="00E356E5" w:rsidRDefault="005B2311" w:rsidP="005B2311">
      <w:pPr>
        <w:pStyle w:val="BodyText"/>
        <w:numPr>
          <w:ilvl w:val="0"/>
          <w:numId w:val="9"/>
        </w:numPr>
        <w:spacing w:after="240"/>
        <w:jc w:val="both"/>
        <w:rPr>
          <w:b/>
          <w:i/>
          <w:sz w:val="20"/>
          <w:szCs w:val="20"/>
        </w:rPr>
      </w:pPr>
      <w:r w:rsidRPr="00E356E5">
        <w:rPr>
          <w:b/>
          <w:i/>
          <w:sz w:val="20"/>
          <w:szCs w:val="20"/>
        </w:rPr>
        <w:t xml:space="preserve">Sensing for CBR is only performed on </w:t>
      </w:r>
      <w:r>
        <w:rPr>
          <w:b/>
          <w:i/>
          <w:sz w:val="20"/>
          <w:szCs w:val="20"/>
        </w:rPr>
        <w:t>system time/</w:t>
      </w:r>
      <w:r w:rsidRPr="00E356E5">
        <w:rPr>
          <w:b/>
          <w:i/>
          <w:sz w:val="20"/>
          <w:szCs w:val="20"/>
        </w:rPr>
        <w:t>frequency resources used for data</w:t>
      </w:r>
      <w:r>
        <w:rPr>
          <w:b/>
          <w:i/>
          <w:sz w:val="20"/>
          <w:szCs w:val="20"/>
        </w:rPr>
        <w:t>.</w:t>
      </w:r>
    </w:p>
    <w:p w:rsidR="005B2311" w:rsidRDefault="005B2311" w:rsidP="005B2311">
      <w:pPr>
        <w:pStyle w:val="BodyText"/>
        <w:spacing w:after="240"/>
        <w:jc w:val="both"/>
        <w:rPr>
          <w:b/>
          <w:i/>
          <w:sz w:val="20"/>
          <w:szCs w:val="20"/>
        </w:rPr>
      </w:pPr>
      <w:r w:rsidRPr="0071277F">
        <w:rPr>
          <w:b/>
          <w:i/>
          <w:sz w:val="20"/>
          <w:szCs w:val="20"/>
        </w:rPr>
        <w:t>Proposal:</w:t>
      </w:r>
      <w:r>
        <w:rPr>
          <w:b/>
          <w:i/>
          <w:sz w:val="20"/>
          <w:szCs w:val="20"/>
        </w:rPr>
        <w:t xml:space="preserve"> </w:t>
      </w:r>
    </w:p>
    <w:p w:rsidR="005B2311" w:rsidRPr="002749F8" w:rsidRDefault="005B2311" w:rsidP="005B2311">
      <w:pPr>
        <w:pStyle w:val="BodyText"/>
        <w:numPr>
          <w:ilvl w:val="0"/>
          <w:numId w:val="12"/>
        </w:numPr>
        <w:spacing w:after="240"/>
        <w:jc w:val="both"/>
        <w:rPr>
          <w:b/>
          <w:i/>
          <w:sz w:val="20"/>
          <w:szCs w:val="20"/>
        </w:rPr>
      </w:pPr>
      <w:r>
        <w:rPr>
          <w:b/>
          <w:i/>
          <w:sz w:val="20"/>
          <w:szCs w:val="20"/>
        </w:rPr>
        <w:t xml:space="preserve">The sensing for determining CBR for LTE ITS is performed over a </w:t>
      </w:r>
      <w:r w:rsidRPr="002749F8">
        <w:rPr>
          <w:b/>
          <w:i/>
          <w:sz w:val="20"/>
          <w:szCs w:val="20"/>
        </w:rPr>
        <w:t>measuring interval</w:t>
      </w:r>
      <w:r>
        <w:rPr>
          <w:b/>
          <w:i/>
          <w:sz w:val="20"/>
          <w:szCs w:val="20"/>
        </w:rPr>
        <w:t xml:space="preserve"> of all V2V data </w:t>
      </w:r>
      <w:proofErr w:type="spellStart"/>
      <w:r>
        <w:rPr>
          <w:b/>
          <w:i/>
          <w:sz w:val="20"/>
          <w:szCs w:val="20"/>
        </w:rPr>
        <w:t>subframes</w:t>
      </w:r>
      <w:proofErr w:type="spellEnd"/>
      <w:r>
        <w:rPr>
          <w:b/>
          <w:i/>
          <w:sz w:val="20"/>
          <w:szCs w:val="20"/>
        </w:rPr>
        <w:t xml:space="preserve"> within the previous 100ms </w:t>
      </w:r>
      <w:r w:rsidRPr="002749F8">
        <w:rPr>
          <w:b/>
          <w:i/>
          <w:sz w:val="20"/>
          <w:szCs w:val="20"/>
        </w:rPr>
        <w:t>as follows:</w:t>
      </w:r>
    </w:p>
    <w:p w:rsidR="005B2311" w:rsidRPr="002749F8" w:rsidRDefault="005B2311" w:rsidP="005B2311">
      <w:pPr>
        <w:pStyle w:val="BodyText"/>
        <w:numPr>
          <w:ilvl w:val="1"/>
          <w:numId w:val="9"/>
        </w:numPr>
        <w:spacing w:after="240"/>
        <w:jc w:val="both"/>
        <w:rPr>
          <w:b/>
          <w:i/>
          <w:sz w:val="20"/>
          <w:szCs w:val="20"/>
        </w:rPr>
      </w:pPr>
      <w:r w:rsidRPr="002749F8">
        <w:rPr>
          <w:b/>
          <w:i/>
          <w:sz w:val="20"/>
          <w:szCs w:val="20"/>
        </w:rPr>
        <w:lastRenderedPageBreak/>
        <w:t xml:space="preserve">The data system resources are divided into </w:t>
      </w:r>
      <w:proofErr w:type="spellStart"/>
      <w:r w:rsidRPr="002749F8">
        <w:rPr>
          <w:b/>
          <w:i/>
          <w:sz w:val="20"/>
          <w:szCs w:val="20"/>
        </w:rPr>
        <w:t>subbands</w:t>
      </w:r>
      <w:proofErr w:type="spellEnd"/>
      <w:r w:rsidRPr="002749F8">
        <w:rPr>
          <w:b/>
          <w:i/>
          <w:sz w:val="20"/>
          <w:szCs w:val="20"/>
        </w:rPr>
        <w:t xml:space="preserve"> </w:t>
      </w:r>
    </w:p>
    <w:p w:rsidR="005B2311" w:rsidRPr="0071277F" w:rsidRDefault="005B2311" w:rsidP="005B2311">
      <w:pPr>
        <w:pStyle w:val="BodyText"/>
        <w:numPr>
          <w:ilvl w:val="2"/>
          <w:numId w:val="9"/>
        </w:numPr>
        <w:spacing w:after="240"/>
        <w:jc w:val="both"/>
        <w:rPr>
          <w:b/>
          <w:i/>
          <w:sz w:val="20"/>
          <w:szCs w:val="20"/>
        </w:rPr>
      </w:pPr>
      <w:r>
        <w:rPr>
          <w:b/>
          <w:i/>
          <w:sz w:val="20"/>
          <w:szCs w:val="20"/>
        </w:rPr>
        <w:t xml:space="preserve">FFS the number of </w:t>
      </w:r>
      <w:proofErr w:type="spellStart"/>
      <w:proofErr w:type="gramStart"/>
      <w:r>
        <w:rPr>
          <w:b/>
          <w:i/>
          <w:sz w:val="20"/>
          <w:szCs w:val="20"/>
        </w:rPr>
        <w:t>subbands</w:t>
      </w:r>
      <w:proofErr w:type="spellEnd"/>
      <w:r>
        <w:rPr>
          <w:b/>
          <w:i/>
          <w:sz w:val="20"/>
          <w:szCs w:val="20"/>
        </w:rPr>
        <w:t>,</w:t>
      </w:r>
      <w:proofErr w:type="gramEnd"/>
      <w:r>
        <w:rPr>
          <w:b/>
          <w:i/>
          <w:sz w:val="20"/>
          <w:szCs w:val="20"/>
        </w:rPr>
        <w:t xml:space="preserve"> preferably aligned with PC5 scheduling granularity in frequency domain.</w:t>
      </w:r>
    </w:p>
    <w:p w:rsidR="005B2311" w:rsidRPr="005B2311" w:rsidRDefault="005B2311" w:rsidP="005B2311">
      <w:pPr>
        <w:pStyle w:val="BodyText"/>
        <w:numPr>
          <w:ilvl w:val="1"/>
          <w:numId w:val="9"/>
        </w:numPr>
        <w:spacing w:after="240"/>
        <w:jc w:val="both"/>
        <w:rPr>
          <w:b/>
          <w:i/>
          <w:sz w:val="20"/>
          <w:szCs w:val="20"/>
        </w:rPr>
      </w:pPr>
      <w:r w:rsidRPr="0071277F">
        <w:rPr>
          <w:b/>
          <w:i/>
          <w:sz w:val="20"/>
          <w:szCs w:val="20"/>
        </w:rPr>
        <w:t xml:space="preserve">Each probe consists </w:t>
      </w:r>
      <w:r w:rsidRPr="005B2311">
        <w:rPr>
          <w:b/>
          <w:i/>
          <w:sz w:val="20"/>
          <w:szCs w:val="20"/>
        </w:rPr>
        <w:t xml:space="preserve">of measuring the average signal power S over a single data </w:t>
      </w:r>
      <w:proofErr w:type="spellStart"/>
      <w:r w:rsidRPr="005B2311">
        <w:rPr>
          <w:b/>
          <w:i/>
          <w:sz w:val="20"/>
          <w:szCs w:val="20"/>
        </w:rPr>
        <w:t>subband</w:t>
      </w:r>
      <w:proofErr w:type="spellEnd"/>
      <w:r w:rsidRPr="005B2311">
        <w:rPr>
          <w:b/>
          <w:i/>
          <w:sz w:val="20"/>
          <w:szCs w:val="20"/>
        </w:rPr>
        <w:t xml:space="preserve"> over a single </w:t>
      </w:r>
      <w:proofErr w:type="spellStart"/>
      <w:r w:rsidRPr="005B2311">
        <w:rPr>
          <w:b/>
          <w:i/>
          <w:sz w:val="20"/>
          <w:szCs w:val="20"/>
        </w:rPr>
        <w:t>subframe</w:t>
      </w:r>
      <w:proofErr w:type="spellEnd"/>
      <w:r w:rsidRPr="005B2311">
        <w:rPr>
          <w:b/>
          <w:i/>
          <w:sz w:val="20"/>
          <w:szCs w:val="20"/>
        </w:rPr>
        <w:t>.</w:t>
      </w:r>
    </w:p>
    <w:p w:rsidR="005B2311" w:rsidRPr="005B2311" w:rsidRDefault="005B2311" w:rsidP="005B2311">
      <w:pPr>
        <w:pStyle w:val="BodyText"/>
        <w:numPr>
          <w:ilvl w:val="1"/>
          <w:numId w:val="9"/>
        </w:numPr>
        <w:spacing w:after="240"/>
        <w:jc w:val="both"/>
        <w:rPr>
          <w:b/>
          <w:i/>
          <w:sz w:val="20"/>
          <w:szCs w:val="20"/>
        </w:rPr>
      </w:pPr>
      <w:r w:rsidRPr="005B2311">
        <w:rPr>
          <w:b/>
          <w:i/>
          <w:sz w:val="20"/>
          <w:szCs w:val="20"/>
        </w:rPr>
        <w:t xml:space="preserve">The probe is declared busy if S exceeds a pre-defined power threshold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5B2311" w:rsidRPr="005B2311" w:rsidRDefault="005B2311" w:rsidP="005B2311">
      <w:pPr>
        <w:pStyle w:val="BodyText"/>
        <w:numPr>
          <w:ilvl w:val="1"/>
          <w:numId w:val="9"/>
        </w:numPr>
        <w:spacing w:after="240"/>
        <w:jc w:val="both"/>
        <w:rPr>
          <w:b/>
          <w:i/>
          <w:sz w:val="20"/>
          <w:szCs w:val="20"/>
        </w:rPr>
      </w:pPr>
      <m:oMath>
        <m:r>
          <m:rPr>
            <m:sty m:val="bi"/>
          </m:rPr>
          <w:rPr>
            <w:rFonts w:ascii="Cambria Math" w:hAnsi="Cambria Math"/>
            <w:sz w:val="20"/>
            <w:szCs w:val="20"/>
          </w:rPr>
          <m:t>CBR</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e>
        </m:d>
        <m:r>
          <m:rPr>
            <m:sty m:val="bi"/>
          </m:rPr>
          <w:rPr>
            <w:rFonts w:ascii="Cambria Math" w:hAnsi="Cambria Math"/>
            <w:sz w:val="20"/>
            <w:szCs w:val="20"/>
          </w:rPr>
          <m:t>=</m:t>
        </m:r>
      </m:oMath>
      <w:r w:rsidRPr="005B2311">
        <w:rPr>
          <w:b/>
          <w:i/>
          <w:sz w:val="20"/>
          <w:szCs w:val="20"/>
        </w:rPr>
        <w:t xml:space="preserve"> </w:t>
      </w:r>
      <m:oMath>
        <m:f>
          <m:fPr>
            <m:ctrlPr>
              <w:rPr>
                <w:rFonts w:ascii="Cambria Math" w:hAnsi="Cambria Math"/>
                <w:b/>
                <w:i/>
                <w:sz w:val="20"/>
                <w:szCs w:val="20"/>
              </w:rPr>
            </m:ctrlPr>
          </m:fPr>
          <m:num>
            <m:r>
              <m:rPr>
                <m:sty m:val="bi"/>
              </m:rPr>
              <w:rPr>
                <w:rFonts w:ascii="Cambria Math" w:hAnsi="Cambria Math"/>
                <w:sz w:val="20"/>
                <w:szCs w:val="20"/>
              </w:rPr>
              <m:t xml:space="preserve">number of busy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num>
          <m:den>
            <m:r>
              <m:rPr>
                <m:sty m:val="bi"/>
              </m:rPr>
              <w:rPr>
                <w:rFonts w:ascii="Cambria Math" w:hAnsi="Cambria Math"/>
                <w:sz w:val="20"/>
                <w:szCs w:val="20"/>
              </w:rPr>
              <m:t xml:space="preserve">total number of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den>
        </m:f>
        <m:r>
          <m:rPr>
            <m:sty m:val="bi"/>
          </m:rPr>
          <w:rPr>
            <w:rFonts w:ascii="Cambria Math" w:hAnsi="Cambria Math"/>
            <w:sz w:val="20"/>
            <w:szCs w:val="20"/>
          </w:rPr>
          <m:t>.</m:t>
        </m:r>
      </m:oMath>
    </w:p>
    <w:p w:rsidR="009A1074" w:rsidRPr="00DA1475" w:rsidRDefault="00C02A80" w:rsidP="00856691">
      <w:pPr>
        <w:pStyle w:val="Heading1"/>
      </w:pPr>
      <w:r w:rsidRPr="00DA1475">
        <w:t>Reference</w:t>
      </w:r>
    </w:p>
    <w:p w:rsidR="00B4256E" w:rsidRPr="003E526E" w:rsidRDefault="00B4256E" w:rsidP="00286CAF">
      <w:pPr>
        <w:pStyle w:val="ListParagraph"/>
        <w:numPr>
          <w:ilvl w:val="0"/>
          <w:numId w:val="7"/>
        </w:numPr>
        <w:ind w:left="709" w:hanging="425"/>
        <w:rPr>
          <w:rFonts w:ascii="Times New Roman" w:hAnsi="Times New Roman" w:cs="Times New Roman"/>
          <w:color w:val="312E25"/>
          <w:sz w:val="20"/>
          <w:szCs w:val="20"/>
          <w:lang w:eastAsia="sv-SE"/>
        </w:rPr>
      </w:pPr>
      <w:bookmarkStart w:id="4" w:name="_Ref450500551"/>
      <w:bookmarkStart w:id="5" w:name="_Ref447199324"/>
      <w:bookmarkStart w:id="6" w:name="_Ref447198192"/>
      <w:r w:rsidRPr="003E526E">
        <w:rPr>
          <w:rFonts w:ascii="Times New Roman" w:hAnsi="Times New Roman" w:cs="Times New Roman"/>
          <w:color w:val="312E25"/>
          <w:sz w:val="20"/>
          <w:szCs w:val="20"/>
          <w:lang w:eastAsia="sv-SE"/>
        </w:rPr>
        <w:t xml:space="preserve">Draft ETSI EN 302 571 V2.0.0 (2016-03), </w:t>
      </w:r>
      <w:proofErr w:type="spellStart"/>
      <w:r w:rsidRPr="003E526E">
        <w:rPr>
          <w:rFonts w:ascii="Times New Roman" w:hAnsi="Times New Roman" w:cs="Times New Roman"/>
          <w:color w:val="312E25"/>
          <w:sz w:val="20"/>
          <w:szCs w:val="20"/>
          <w:lang w:eastAsia="sv-SE"/>
        </w:rPr>
        <w:t>Radiocommunications</w:t>
      </w:r>
      <w:proofErr w:type="spellEnd"/>
      <w:r w:rsidRPr="003E526E">
        <w:rPr>
          <w:rFonts w:ascii="Times New Roman" w:hAnsi="Times New Roman" w:cs="Times New Roman"/>
          <w:color w:val="312E25"/>
          <w:sz w:val="20"/>
          <w:szCs w:val="20"/>
          <w:lang w:eastAsia="sv-SE"/>
        </w:rPr>
        <w:t xml:space="preserve"> equipment operating in the 5 855 MHz to 5 925 MHz frequency band; </w:t>
      </w:r>
      <w:proofErr w:type="spellStart"/>
      <w:r w:rsidRPr="003E526E">
        <w:rPr>
          <w:rFonts w:ascii="Times New Roman" w:hAnsi="Times New Roman" w:cs="Times New Roman"/>
          <w:color w:val="312E25"/>
          <w:sz w:val="20"/>
          <w:szCs w:val="20"/>
          <w:lang w:eastAsia="sv-SE"/>
        </w:rPr>
        <w:t>Harmonised</w:t>
      </w:r>
      <w:proofErr w:type="spellEnd"/>
      <w:r w:rsidRPr="003E526E">
        <w:rPr>
          <w:rFonts w:ascii="Times New Roman" w:hAnsi="Times New Roman" w:cs="Times New Roman"/>
          <w:color w:val="312E25"/>
          <w:sz w:val="20"/>
          <w:szCs w:val="20"/>
          <w:lang w:eastAsia="sv-SE"/>
        </w:rPr>
        <w:t xml:space="preserve"> Standard covering the essential requirements of article 3.2 of Directive 2014/53/EU</w:t>
      </w:r>
      <w:bookmarkEnd w:id="4"/>
    </w:p>
    <w:p w:rsidR="005B2311" w:rsidRDefault="00925FA7" w:rsidP="005B2311">
      <w:pPr>
        <w:pStyle w:val="ListParagraph"/>
        <w:numPr>
          <w:ilvl w:val="0"/>
          <w:numId w:val="7"/>
        </w:numPr>
        <w:ind w:left="709" w:hanging="425"/>
        <w:rPr>
          <w:rFonts w:ascii="Times New Roman" w:hAnsi="Times New Roman" w:cs="Times New Roman"/>
          <w:color w:val="312E25"/>
          <w:sz w:val="20"/>
          <w:szCs w:val="20"/>
          <w:lang w:eastAsia="sv-SE"/>
        </w:rPr>
      </w:pPr>
      <w:bookmarkStart w:id="7" w:name="_Ref450814624"/>
      <w:r w:rsidRPr="003E526E">
        <w:rPr>
          <w:rFonts w:ascii="Times New Roman" w:hAnsi="Times New Roman" w:cs="Times New Roman"/>
          <w:color w:val="312E25"/>
          <w:sz w:val="20"/>
          <w:szCs w:val="20"/>
          <w:lang w:eastAsia="sv-SE"/>
        </w:rPr>
        <w:t>ETSI TS 102 687 (V1.1.1) (07-2011): "Intelligent Transport Systems (ITS); Decentralized Congestion Control Mechanisms for Intelligent Transport Systems operating in the 5 GHz range; Access layer part".</w:t>
      </w:r>
      <w:bookmarkEnd w:id="5"/>
      <w:bookmarkEnd w:id="6"/>
      <w:bookmarkEnd w:id="7"/>
    </w:p>
    <w:p w:rsidR="005B2311" w:rsidRDefault="005B2311" w:rsidP="005B2311">
      <w:pPr>
        <w:pStyle w:val="ListParagraph"/>
        <w:numPr>
          <w:ilvl w:val="0"/>
          <w:numId w:val="7"/>
        </w:numPr>
        <w:ind w:left="709" w:hanging="425"/>
        <w:rPr>
          <w:rFonts w:ascii="Times New Roman" w:hAnsi="Times New Roman" w:cs="Times New Roman"/>
          <w:color w:val="312E25"/>
          <w:sz w:val="20"/>
          <w:szCs w:val="20"/>
          <w:lang w:eastAsia="sv-SE"/>
        </w:rPr>
      </w:pPr>
      <w:r w:rsidRPr="005B2311">
        <w:rPr>
          <w:rFonts w:ascii="Times New Roman" w:hAnsi="Times New Roman" w:cs="Times New Roman"/>
          <w:color w:val="312E25"/>
          <w:sz w:val="20"/>
          <w:szCs w:val="20"/>
          <w:lang w:eastAsia="sv-SE"/>
        </w:rPr>
        <w:t>R1-166955</w:t>
      </w:r>
      <w:r w:rsidRPr="005B2311">
        <w:rPr>
          <w:rFonts w:ascii="Times New Roman" w:hAnsi="Times New Roman" w:cs="Times New Roman"/>
          <w:color w:val="312E25"/>
          <w:sz w:val="20"/>
          <w:szCs w:val="20"/>
          <w:lang w:eastAsia="sv-SE"/>
        </w:rPr>
        <w:tab/>
        <w:t>Congestion Control Framework for V2V,</w:t>
      </w:r>
      <w:r w:rsidRPr="005B2311">
        <w:rPr>
          <w:rFonts w:ascii="Times New Roman" w:hAnsi="Times New Roman" w:cs="Times New Roman"/>
          <w:color w:val="312E25"/>
          <w:sz w:val="20"/>
          <w:szCs w:val="20"/>
          <w:lang w:eastAsia="sv-SE"/>
        </w:rPr>
        <w:tab/>
        <w:t>Ericsson</w:t>
      </w:r>
    </w:p>
    <w:p w:rsidR="00B63B22" w:rsidRPr="005B2311" w:rsidRDefault="005B2311" w:rsidP="005B2311">
      <w:pPr>
        <w:pStyle w:val="ListParagraph"/>
        <w:numPr>
          <w:ilvl w:val="0"/>
          <w:numId w:val="7"/>
        </w:numPr>
        <w:ind w:left="709" w:hanging="425"/>
        <w:rPr>
          <w:rFonts w:ascii="Times New Roman" w:hAnsi="Times New Roman" w:cs="Times New Roman"/>
          <w:color w:val="312E25"/>
          <w:sz w:val="20"/>
          <w:szCs w:val="20"/>
          <w:lang w:eastAsia="sv-SE"/>
        </w:rPr>
      </w:pPr>
      <w:r w:rsidRPr="005B2311">
        <w:rPr>
          <w:rFonts w:ascii="Times New Roman" w:hAnsi="Times New Roman" w:cs="Times New Roman"/>
          <w:color w:val="312E25"/>
          <w:sz w:val="20"/>
          <w:szCs w:val="20"/>
          <w:lang w:eastAsia="sv-SE"/>
        </w:rPr>
        <w:t>R1-167013</w:t>
      </w:r>
      <w:r w:rsidRPr="005B2311">
        <w:rPr>
          <w:rFonts w:ascii="Times New Roman" w:hAnsi="Times New Roman" w:cs="Times New Roman"/>
          <w:color w:val="312E25"/>
          <w:sz w:val="20"/>
          <w:szCs w:val="20"/>
          <w:lang w:eastAsia="sv-SE"/>
        </w:rPr>
        <w:tab/>
      </w:r>
      <w:proofErr w:type="spellStart"/>
      <w:r w:rsidRPr="005B2311">
        <w:rPr>
          <w:rFonts w:ascii="Times New Roman" w:hAnsi="Times New Roman" w:cs="Times New Roman"/>
          <w:color w:val="312E25"/>
          <w:sz w:val="20"/>
          <w:szCs w:val="20"/>
          <w:lang w:eastAsia="sv-SE"/>
        </w:rPr>
        <w:t>Subchannelization</w:t>
      </w:r>
      <w:proofErr w:type="spellEnd"/>
      <w:r w:rsidRPr="005B2311">
        <w:rPr>
          <w:rFonts w:ascii="Times New Roman" w:hAnsi="Times New Roman" w:cs="Times New Roman"/>
          <w:color w:val="312E25"/>
          <w:sz w:val="20"/>
          <w:szCs w:val="20"/>
          <w:lang w:eastAsia="sv-SE"/>
        </w:rPr>
        <w:t xml:space="preserve"> and measurements for sensing for V2V over PC5</w:t>
      </w:r>
      <w:r>
        <w:rPr>
          <w:rFonts w:ascii="Times New Roman" w:hAnsi="Times New Roman" w:cs="Times New Roman"/>
          <w:color w:val="312E25"/>
          <w:sz w:val="20"/>
          <w:szCs w:val="20"/>
          <w:lang w:eastAsia="sv-SE"/>
        </w:rPr>
        <w:t>,</w:t>
      </w:r>
      <w:r>
        <w:rPr>
          <w:rFonts w:ascii="Times New Roman" w:hAnsi="Times New Roman" w:cs="Times New Roman"/>
          <w:color w:val="312E25"/>
          <w:sz w:val="20"/>
          <w:szCs w:val="20"/>
          <w:lang w:eastAsia="sv-SE"/>
        </w:rPr>
        <w:tab/>
        <w:t>Ericsson</w:t>
      </w:r>
    </w:p>
    <w:sectPr w:rsidR="00B63B22" w:rsidRPr="005B2311"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8C4" w:rsidRDefault="006F08C4">
      <w:r>
        <w:separator/>
      </w:r>
    </w:p>
  </w:endnote>
  <w:endnote w:type="continuationSeparator" w:id="0">
    <w:p w:rsidR="006F08C4" w:rsidRDefault="006F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8C4" w:rsidRDefault="006F08C4">
      <w:r>
        <w:separator/>
      </w:r>
    </w:p>
  </w:footnote>
  <w:footnote w:type="continuationSeparator" w:id="0">
    <w:p w:rsidR="006F08C4" w:rsidRDefault="006F0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118F45AB"/>
    <w:multiLevelType w:val="hybridMultilevel"/>
    <w:tmpl w:val="D3D0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6E1EED"/>
    <w:multiLevelType w:val="hybridMultilevel"/>
    <w:tmpl w:val="56E60726"/>
    <w:lvl w:ilvl="0" w:tplc="76C04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4DBD1D1A"/>
    <w:multiLevelType w:val="hybridMultilevel"/>
    <w:tmpl w:val="75ACCD14"/>
    <w:lvl w:ilvl="0" w:tplc="A9DE4A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1">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12"/>
  </w:num>
  <w:num w:numId="3">
    <w:abstractNumId w:val="9"/>
  </w:num>
  <w:num w:numId="4">
    <w:abstractNumId w:val="4"/>
  </w:num>
  <w:num w:numId="5">
    <w:abstractNumId w:val="6"/>
  </w:num>
  <w:num w:numId="6">
    <w:abstractNumId w:val="13"/>
  </w:num>
  <w:num w:numId="7">
    <w:abstractNumId w:val="11"/>
  </w:num>
  <w:num w:numId="8">
    <w:abstractNumId w:val="3"/>
  </w:num>
  <w:num w:numId="9">
    <w:abstractNumId w:val="2"/>
  </w:num>
  <w:num w:numId="10">
    <w:abstractNumId w:val="5"/>
  </w:num>
  <w:num w:numId="11">
    <w:abstractNumId w:val="7"/>
  </w:num>
  <w:num w:numId="12">
    <w:abstractNumId w:val="1"/>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19AE"/>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4DD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66"/>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7C5"/>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47F"/>
    <w:rsid w:val="001725FB"/>
    <w:rsid w:val="00172737"/>
    <w:rsid w:val="00172A95"/>
    <w:rsid w:val="00172C90"/>
    <w:rsid w:val="00172E45"/>
    <w:rsid w:val="001734AA"/>
    <w:rsid w:val="00174319"/>
    <w:rsid w:val="001743CF"/>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779"/>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5B25"/>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308"/>
    <w:rsid w:val="001F6EB0"/>
    <w:rsid w:val="001F71A2"/>
    <w:rsid w:val="001F797C"/>
    <w:rsid w:val="001F7C6D"/>
    <w:rsid w:val="00200929"/>
    <w:rsid w:val="00200AC0"/>
    <w:rsid w:val="00201C38"/>
    <w:rsid w:val="00201E9D"/>
    <w:rsid w:val="002024A5"/>
    <w:rsid w:val="002024FC"/>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04E3"/>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2EFB"/>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061"/>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515"/>
    <w:rsid w:val="002437A0"/>
    <w:rsid w:val="002438FF"/>
    <w:rsid w:val="00243F53"/>
    <w:rsid w:val="00244414"/>
    <w:rsid w:val="00244A05"/>
    <w:rsid w:val="00244C23"/>
    <w:rsid w:val="00244E05"/>
    <w:rsid w:val="00244F34"/>
    <w:rsid w:val="00245391"/>
    <w:rsid w:val="002454E1"/>
    <w:rsid w:val="002458FB"/>
    <w:rsid w:val="00245FF6"/>
    <w:rsid w:val="00246597"/>
    <w:rsid w:val="00246C16"/>
    <w:rsid w:val="0024784E"/>
    <w:rsid w:val="00250580"/>
    <w:rsid w:val="002505A7"/>
    <w:rsid w:val="002509C7"/>
    <w:rsid w:val="002512C1"/>
    <w:rsid w:val="0025131A"/>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9F8"/>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CAF"/>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AE3"/>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062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26E"/>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5D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492"/>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31"/>
    <w:rsid w:val="00435895"/>
    <w:rsid w:val="00435972"/>
    <w:rsid w:val="00436018"/>
    <w:rsid w:val="004364C5"/>
    <w:rsid w:val="00436FFD"/>
    <w:rsid w:val="0043746D"/>
    <w:rsid w:val="004374A3"/>
    <w:rsid w:val="00440391"/>
    <w:rsid w:val="00440E3D"/>
    <w:rsid w:val="004411FC"/>
    <w:rsid w:val="004413DB"/>
    <w:rsid w:val="00441F03"/>
    <w:rsid w:val="00441F5C"/>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27"/>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68"/>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6DEC"/>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554"/>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D19"/>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3A86"/>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14C"/>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4F2"/>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9AF"/>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87E69"/>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11"/>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24"/>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3FF"/>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C0C"/>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5AE"/>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0CB"/>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8C4"/>
    <w:rsid w:val="006F0EB6"/>
    <w:rsid w:val="006F1086"/>
    <w:rsid w:val="006F115A"/>
    <w:rsid w:val="006F1C64"/>
    <w:rsid w:val="006F1EC8"/>
    <w:rsid w:val="006F2BCE"/>
    <w:rsid w:val="006F35E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77F"/>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2B9"/>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3B7"/>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D16"/>
    <w:rsid w:val="00773F36"/>
    <w:rsid w:val="00774363"/>
    <w:rsid w:val="00774C29"/>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30F"/>
    <w:rsid w:val="0078357B"/>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07"/>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60"/>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277"/>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57"/>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3F03"/>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01E"/>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1C74"/>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303"/>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460"/>
    <w:rsid w:val="008D6FB9"/>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39"/>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5FA7"/>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511"/>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06A"/>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30"/>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69F6"/>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8F8"/>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C5E"/>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2C"/>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15F"/>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1F0"/>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4F58"/>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6CD"/>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5BB"/>
    <w:rsid w:val="00B407A1"/>
    <w:rsid w:val="00B40D43"/>
    <w:rsid w:val="00B41AE9"/>
    <w:rsid w:val="00B4256E"/>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854"/>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A2D"/>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1B0"/>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42A"/>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1FEC"/>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DA5"/>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6F57"/>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00A"/>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ADC"/>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90E"/>
    <w:rsid w:val="00D37EEF"/>
    <w:rsid w:val="00D402DD"/>
    <w:rsid w:val="00D403AD"/>
    <w:rsid w:val="00D405BE"/>
    <w:rsid w:val="00D407AA"/>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826"/>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1E7C"/>
    <w:rsid w:val="00DC24B3"/>
    <w:rsid w:val="00DC25CD"/>
    <w:rsid w:val="00DC2E09"/>
    <w:rsid w:val="00DC3016"/>
    <w:rsid w:val="00DC3601"/>
    <w:rsid w:val="00DC406C"/>
    <w:rsid w:val="00DC4112"/>
    <w:rsid w:val="00DC4A3A"/>
    <w:rsid w:val="00DC4FD6"/>
    <w:rsid w:val="00DC548A"/>
    <w:rsid w:val="00DC565A"/>
    <w:rsid w:val="00DC5AF4"/>
    <w:rsid w:val="00DC6233"/>
    <w:rsid w:val="00DC66A9"/>
    <w:rsid w:val="00DC6955"/>
    <w:rsid w:val="00DC6F48"/>
    <w:rsid w:val="00DC7138"/>
    <w:rsid w:val="00DC73D4"/>
    <w:rsid w:val="00DC773E"/>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33C"/>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E8F"/>
    <w:rsid w:val="00E340A0"/>
    <w:rsid w:val="00E34205"/>
    <w:rsid w:val="00E34241"/>
    <w:rsid w:val="00E34936"/>
    <w:rsid w:val="00E356E5"/>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54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D8A"/>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FB"/>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43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253"/>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CBC"/>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A92"/>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679886">
      <w:bodyDiv w:val="1"/>
      <w:marLeft w:val="0"/>
      <w:marRight w:val="0"/>
      <w:marTop w:val="0"/>
      <w:marBottom w:val="0"/>
      <w:divBdr>
        <w:top w:val="none" w:sz="0" w:space="0" w:color="auto"/>
        <w:left w:val="none" w:sz="0" w:space="0" w:color="auto"/>
        <w:bottom w:val="none" w:sz="0" w:space="0" w:color="auto"/>
        <w:right w:val="none" w:sz="0" w:space="0" w:color="auto"/>
      </w:divBdr>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74690475">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123556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C4369-63F9-479E-B311-A642E6BD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1614</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Sorrentino</dc:creator>
  <cp:lastModifiedBy>Stefano Sorrentino</cp:lastModifiedBy>
  <cp:revision>5</cp:revision>
  <dcterms:created xsi:type="dcterms:W3CDTF">2016-07-07T11:21:00Z</dcterms:created>
  <dcterms:modified xsi:type="dcterms:W3CDTF">2016-08-10T12:10:00Z</dcterms:modified>
</cp:coreProperties>
</file>